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29253" w14:textId="77777777" w:rsidR="00A62DFA" w:rsidRPr="00A62DFA" w:rsidRDefault="00A62DFA" w:rsidP="00A62DFA">
      <w:pPr>
        <w:spacing w:after="0" w:line="240" w:lineRule="auto"/>
        <w:jc w:val="center"/>
        <w:rPr>
          <w:rFonts w:ascii="Calibri" w:eastAsia="Times New Roman" w:hAnsi="Calibri" w:cs="Times New Roman"/>
          <w:noProof/>
          <w:lang w:eastAsia="uk-UA"/>
        </w:rPr>
      </w:pPr>
      <w:r w:rsidRPr="00A62DFA">
        <w:rPr>
          <w:rFonts w:ascii="Calibri" w:eastAsia="Times New Roman" w:hAnsi="Calibri" w:cs="Times New Roman"/>
          <w:sz w:val="28"/>
          <w:szCs w:val="28"/>
          <w:lang w:eastAsia="uk-UA"/>
        </w:rPr>
        <w:object w:dxaOrig="795" w:dyaOrig="1095" w14:anchorId="7B1F3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pt;height:54.25pt" o:ole="">
            <v:imagedata r:id="rId6" o:title="" grayscale="t" bilevel="t"/>
          </v:shape>
          <o:OLEObject Type="Embed" ProgID="CorelDRAW.Graphic.13" ShapeID="_x0000_i1025" DrawAspect="Content" ObjectID="_1823779745" r:id="rId7"/>
        </w:object>
      </w:r>
    </w:p>
    <w:p w14:paraId="2A04647A" w14:textId="77777777" w:rsidR="00A62DFA" w:rsidRPr="00A62DFA" w:rsidRDefault="00A62DFA" w:rsidP="00A62DFA">
      <w:pPr>
        <w:spacing w:after="0" w:line="240" w:lineRule="auto"/>
        <w:jc w:val="center"/>
        <w:rPr>
          <w:rFonts w:ascii="Calibri" w:eastAsia="Times New Roman" w:hAnsi="Calibri" w:cs="Times New Roman"/>
          <w:noProof/>
          <w:sz w:val="10"/>
          <w:szCs w:val="10"/>
          <w:lang w:eastAsia="uk-UA"/>
        </w:rPr>
      </w:pPr>
    </w:p>
    <w:p w14:paraId="058F6C93" w14:textId="77777777" w:rsidR="00A62DFA" w:rsidRPr="00A62DFA" w:rsidRDefault="00A62DFA" w:rsidP="00A62DFA">
      <w:pPr>
        <w:keepNext/>
        <w:spacing w:after="0" w:line="240" w:lineRule="auto"/>
        <w:jc w:val="center"/>
        <w:outlineLvl w:val="0"/>
        <w:rPr>
          <w:rFonts w:ascii="Times New Roman" w:eastAsia="Times New Roman" w:hAnsi="Times New Roman" w:cs="Times New Roman"/>
          <w:smallCaps/>
          <w:snapToGrid w:val="0"/>
          <w:sz w:val="24"/>
          <w:szCs w:val="24"/>
          <w:lang w:eastAsia="ru-RU"/>
        </w:rPr>
      </w:pPr>
      <w:r w:rsidRPr="00A62DFA">
        <w:rPr>
          <w:rFonts w:ascii="Times New Roman" w:eastAsia="Times New Roman" w:hAnsi="Times New Roman" w:cs="Times New Roman"/>
          <w:smallCaps/>
          <w:snapToGrid w:val="0"/>
          <w:sz w:val="24"/>
          <w:szCs w:val="24"/>
          <w:lang w:eastAsia="ru-RU"/>
        </w:rPr>
        <w:t>ДЕСНЯНСЬКА РАЙОННА В МІСТІ КИЄВІ ДЕРЖАВНА АДМІНІСТРАЦІЯ</w:t>
      </w:r>
    </w:p>
    <w:p w14:paraId="6A44E51E"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7016A60F" w14:textId="77777777" w:rsidR="00A62DFA" w:rsidRPr="00A62DFA" w:rsidRDefault="00A62DFA" w:rsidP="00A62DFA">
      <w:pPr>
        <w:keepNext/>
        <w:spacing w:after="0" w:line="240" w:lineRule="auto"/>
        <w:jc w:val="center"/>
        <w:outlineLvl w:val="1"/>
        <w:rPr>
          <w:rFonts w:ascii="Times New Roman" w:eastAsia="Times New Roman" w:hAnsi="Times New Roman" w:cs="Times New Roman"/>
          <w:b/>
          <w:bCs/>
          <w:snapToGrid w:val="0"/>
          <w:sz w:val="28"/>
          <w:szCs w:val="28"/>
          <w:lang w:eastAsia="ru-RU"/>
        </w:rPr>
      </w:pPr>
      <w:r w:rsidRPr="00A62DFA">
        <w:rPr>
          <w:rFonts w:ascii="Times New Roman" w:eastAsia="Times New Roman" w:hAnsi="Times New Roman" w:cs="Times New Roman"/>
          <w:b/>
          <w:bCs/>
          <w:snapToGrid w:val="0"/>
          <w:sz w:val="28"/>
          <w:szCs w:val="28"/>
          <w:lang w:eastAsia="ru-RU"/>
        </w:rPr>
        <w:t>УПРАВЛІННЯ ОСВІТИ</w:t>
      </w:r>
    </w:p>
    <w:p w14:paraId="2FED7873"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443295F0"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вул. Миколи Закревського, 15-а, м. Київ, 02217 тел./факс (044) 546</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67</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80  Е-</w:t>
      </w:r>
      <w:r w:rsidRPr="00A62DFA">
        <w:rPr>
          <w:rFonts w:ascii="Times New Roman" w:eastAsia="Times New Roman" w:hAnsi="Times New Roman" w:cs="Times New Roman"/>
          <w:i/>
          <w:sz w:val="20"/>
          <w:szCs w:val="20"/>
          <w:lang w:val="en-US" w:eastAsia="uk-UA"/>
        </w:rPr>
        <w:t>mail</w:t>
      </w:r>
      <w:r w:rsidRPr="00A62DFA">
        <w:rPr>
          <w:rFonts w:ascii="Times New Roman" w:eastAsia="Times New Roman" w:hAnsi="Times New Roman" w:cs="Times New Roman"/>
          <w:i/>
          <w:sz w:val="20"/>
          <w:szCs w:val="20"/>
          <w:lang w:eastAsia="uk-UA"/>
        </w:rPr>
        <w:t xml:space="preserve">: </w:t>
      </w:r>
      <w:hyperlink r:id="rId8" w:history="1">
        <w:r w:rsidRPr="007E56D1">
          <w:rPr>
            <w:rFonts w:ascii="Times New Roman" w:eastAsia="Times New Roman" w:hAnsi="Times New Roman" w:cs="Times New Roman"/>
            <w:i/>
            <w:sz w:val="20"/>
            <w:szCs w:val="20"/>
            <w:u w:val="single"/>
            <w:lang w:val="en-US" w:eastAsia="uk-UA"/>
          </w:rPr>
          <w:t>uo</w:t>
        </w:r>
        <w:r w:rsidRPr="007E56D1">
          <w:rPr>
            <w:rFonts w:ascii="Times New Roman" w:eastAsia="Times New Roman" w:hAnsi="Times New Roman" w:cs="Times New Roman"/>
            <w:i/>
            <w:sz w:val="20"/>
            <w:szCs w:val="20"/>
            <w:u w:val="single"/>
            <w:lang w:eastAsia="uk-UA"/>
          </w:rPr>
          <w:t>_</w:t>
        </w:r>
        <w:r w:rsidRPr="007E56D1">
          <w:rPr>
            <w:rFonts w:ascii="Times New Roman" w:eastAsia="Times New Roman" w:hAnsi="Times New Roman" w:cs="Times New Roman"/>
            <w:i/>
            <w:sz w:val="20"/>
            <w:szCs w:val="20"/>
            <w:u w:val="single"/>
            <w:lang w:val="en-US" w:eastAsia="uk-UA"/>
          </w:rPr>
          <w:t>desnrda</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kyivcity</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gov</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ua</w:t>
        </w:r>
      </w:hyperlink>
    </w:p>
    <w:p w14:paraId="63AF00EF"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Код ЄДРПОУ 37501684</w:t>
      </w:r>
    </w:p>
    <w:p w14:paraId="4BC3CE7B" w14:textId="77777777" w:rsidR="00A62DFA" w:rsidRPr="00A62DFA" w:rsidRDefault="00A62DFA" w:rsidP="00A62DFA">
      <w:pPr>
        <w:spacing w:after="0" w:line="240" w:lineRule="auto"/>
        <w:rPr>
          <w:rFonts w:ascii="Times New Roman" w:eastAsia="Calibri" w:hAnsi="Times New Roman" w:cs="Times New Roman"/>
          <w:sz w:val="26"/>
          <w:szCs w:val="26"/>
        </w:rPr>
      </w:pPr>
      <w:r w:rsidRPr="00A62DFA">
        <w:rPr>
          <w:rFonts w:ascii="Calibri" w:eastAsia="Calibri" w:hAnsi="Calibri" w:cs="Times New Roman"/>
          <w:noProof/>
          <w:lang w:eastAsia="uk-UA"/>
        </w:rPr>
        <mc:AlternateContent>
          <mc:Choice Requires="wps">
            <w:drawing>
              <wp:anchor distT="0" distB="0" distL="114300" distR="114300" simplePos="0" relativeHeight="251661312" behindDoc="0" locked="0" layoutInCell="0" allowOverlap="1" wp14:anchorId="31D50F9D" wp14:editId="55C4C616">
                <wp:simplePos x="0" y="0"/>
                <wp:positionH relativeFrom="column">
                  <wp:posOffset>-70485</wp:posOffset>
                </wp:positionH>
                <wp:positionV relativeFrom="paragraph">
                  <wp:posOffset>81915</wp:posOffset>
                </wp:positionV>
                <wp:extent cx="6224905" cy="0"/>
                <wp:effectExtent l="28575" t="31115" r="3302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7553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45pt" to="484.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" o:allowincell="f" strokeweight="4.5pt">
                <v:stroke linestyle="thickThin"/>
              </v:line>
            </w:pict>
          </mc:Fallback>
        </mc:AlternateContent>
      </w:r>
    </w:p>
    <w:p w14:paraId="08297E12" w14:textId="77777777" w:rsidR="000524D1" w:rsidRPr="0075242E" w:rsidRDefault="000524D1" w:rsidP="000524D1">
      <w:pPr>
        <w:spacing w:after="0" w:line="240" w:lineRule="auto"/>
        <w:jc w:val="both"/>
        <w:rPr>
          <w:rFonts w:ascii="Times New Roman" w:eastAsia="Times New Roman" w:hAnsi="Times New Roman" w:cs="Times New Roman"/>
          <w:lang w:val="ru-RU" w:eastAsia="ru-RU"/>
        </w:rPr>
      </w:pPr>
    </w:p>
    <w:p w14:paraId="3AD62772" w14:textId="0EDCC5A8" w:rsidR="000524D1" w:rsidRPr="00B84E38" w:rsidRDefault="000524D1" w:rsidP="000524D1">
      <w:pPr>
        <w:spacing w:after="0" w:line="240" w:lineRule="auto"/>
        <w:ind w:left="5103"/>
        <w:jc w:val="both"/>
        <w:rPr>
          <w:rFonts w:ascii="Times New Roman" w:hAnsi="Times New Roman" w:cs="Times New Roman"/>
          <w:sz w:val="24"/>
          <w:szCs w:val="24"/>
        </w:rPr>
      </w:pPr>
      <w:bookmarkStart w:id="0" w:name="_Hlk143779967"/>
      <w:r w:rsidRPr="00B84E38">
        <w:rPr>
          <w:rFonts w:ascii="Times New Roman" w:hAnsi="Times New Roman" w:cs="Times New Roman"/>
          <w:sz w:val="24"/>
          <w:szCs w:val="24"/>
        </w:rPr>
        <w:t>Постійно діюча адміністративна ко</w:t>
      </w:r>
      <w:r w:rsidR="00873891" w:rsidRPr="00B84E38">
        <w:rPr>
          <w:rFonts w:ascii="Times New Roman" w:hAnsi="Times New Roman" w:cs="Times New Roman"/>
          <w:sz w:val="24"/>
          <w:szCs w:val="24"/>
        </w:rPr>
        <w:t>місія</w:t>
      </w:r>
      <w:r w:rsidRPr="00B84E38">
        <w:rPr>
          <w:rFonts w:ascii="Times New Roman" w:hAnsi="Times New Roman" w:cs="Times New Roman"/>
          <w:sz w:val="24"/>
          <w:szCs w:val="24"/>
        </w:rPr>
        <w:t xml:space="preserve"> Антимонопольного комітету України з розгляду скарг про порушення законодавства у сфері публічних закупівель </w:t>
      </w:r>
    </w:p>
    <w:bookmarkEnd w:id="0"/>
    <w:p w14:paraId="44B40F04" w14:textId="77777777" w:rsidR="000524D1" w:rsidRPr="00B84E38" w:rsidRDefault="000524D1" w:rsidP="000524D1">
      <w:pPr>
        <w:spacing w:after="0" w:line="240" w:lineRule="auto"/>
        <w:ind w:left="5103"/>
        <w:jc w:val="both"/>
        <w:rPr>
          <w:rFonts w:ascii="Times New Roman" w:hAnsi="Times New Roman" w:cs="Times New Roman"/>
          <w:i/>
          <w:sz w:val="24"/>
          <w:szCs w:val="24"/>
        </w:rPr>
      </w:pPr>
      <w:r w:rsidRPr="00B84E38">
        <w:rPr>
          <w:rFonts w:ascii="Times New Roman" w:hAnsi="Times New Roman" w:cs="Times New Roman"/>
          <w:i/>
          <w:sz w:val="24"/>
          <w:szCs w:val="24"/>
        </w:rPr>
        <w:t>вул. Митрополита Василя Липківського, 45,                   м. Київ, 03680</w:t>
      </w:r>
    </w:p>
    <w:p w14:paraId="4AB0D4AF" w14:textId="77777777" w:rsidR="000524D1" w:rsidRPr="00B84E38" w:rsidRDefault="000524D1" w:rsidP="000524D1">
      <w:pPr>
        <w:pStyle w:val="a7"/>
        <w:shd w:val="clear" w:color="auto" w:fill="FFFFFF"/>
        <w:spacing w:before="0" w:beforeAutospacing="0" w:after="0" w:afterAutospacing="0"/>
        <w:ind w:firstLine="567"/>
        <w:jc w:val="both"/>
        <w:rPr>
          <w:lang w:val="uk-UA"/>
        </w:rPr>
      </w:pPr>
    </w:p>
    <w:p w14:paraId="7CDC1B4E" w14:textId="77777777" w:rsidR="004D2744" w:rsidRPr="00B84E38" w:rsidRDefault="004D2744" w:rsidP="000524D1">
      <w:pPr>
        <w:spacing w:after="0" w:line="240" w:lineRule="auto"/>
        <w:ind w:firstLine="567"/>
        <w:jc w:val="center"/>
        <w:rPr>
          <w:rFonts w:ascii="Times New Roman" w:hAnsi="Times New Roman" w:cs="Times New Roman"/>
          <w:b/>
          <w:bCs/>
          <w:sz w:val="24"/>
          <w:szCs w:val="24"/>
        </w:rPr>
      </w:pPr>
    </w:p>
    <w:p w14:paraId="0D89E9C2" w14:textId="254D2867" w:rsidR="00337C23" w:rsidRPr="00B84E38" w:rsidRDefault="000524D1" w:rsidP="00263B11">
      <w:pPr>
        <w:spacing w:after="0" w:line="240" w:lineRule="auto"/>
        <w:ind w:firstLine="567"/>
        <w:jc w:val="center"/>
        <w:rPr>
          <w:rFonts w:ascii="Times New Roman" w:hAnsi="Times New Roman" w:cs="Times New Roman"/>
          <w:b/>
          <w:bCs/>
          <w:sz w:val="24"/>
          <w:szCs w:val="24"/>
        </w:rPr>
      </w:pPr>
      <w:r w:rsidRPr="00B84E38">
        <w:rPr>
          <w:rFonts w:ascii="Times New Roman" w:hAnsi="Times New Roman" w:cs="Times New Roman"/>
          <w:b/>
          <w:bCs/>
          <w:sz w:val="24"/>
          <w:szCs w:val="24"/>
        </w:rPr>
        <w:t xml:space="preserve">Пояснення по суті скарги </w:t>
      </w:r>
      <w:r w:rsidR="00C026CF">
        <w:rPr>
          <w:rFonts w:ascii="Times New Roman" w:hAnsi="Times New Roman" w:cs="Times New Roman"/>
          <w:b/>
          <w:bCs/>
          <w:sz w:val="24"/>
          <w:szCs w:val="24"/>
          <w:lang w:val="ru-UA"/>
        </w:rPr>
        <w:t xml:space="preserve">№ </w:t>
      </w:r>
      <w:r w:rsidR="009C5A73" w:rsidRPr="009C5A73">
        <w:rPr>
          <w:rFonts w:ascii="Times New Roman" w:hAnsi="Times New Roman" w:cs="Times New Roman"/>
          <w:b/>
          <w:bCs/>
          <w:sz w:val="24"/>
          <w:szCs w:val="24"/>
        </w:rPr>
        <w:t>UA-2025-09-22-013680-a.a2</w:t>
      </w:r>
      <w:r w:rsidR="009C5A73" w:rsidRPr="009C5A73">
        <w:rPr>
          <w:rFonts w:ascii="Times New Roman" w:hAnsi="Times New Roman" w:cs="Times New Roman"/>
          <w:b/>
          <w:bCs/>
          <w:sz w:val="24"/>
          <w:szCs w:val="24"/>
        </w:rPr>
        <w:cr/>
      </w:r>
    </w:p>
    <w:p w14:paraId="28A88AF5" w14:textId="65E79B66" w:rsidR="000524D1" w:rsidRPr="00B84E38" w:rsidRDefault="000524D1" w:rsidP="00337C23">
      <w:pPr>
        <w:spacing w:after="0" w:line="240" w:lineRule="auto"/>
        <w:ind w:firstLine="567"/>
        <w:jc w:val="both"/>
        <w:rPr>
          <w:rFonts w:ascii="Times New Roman" w:hAnsi="Times New Roman" w:cs="Times New Roman"/>
          <w:sz w:val="24"/>
          <w:szCs w:val="24"/>
        </w:rPr>
      </w:pPr>
      <w:r w:rsidRPr="00B84E38">
        <w:rPr>
          <w:rFonts w:ascii="Times New Roman" w:hAnsi="Times New Roman" w:cs="Times New Roman"/>
          <w:sz w:val="24"/>
          <w:szCs w:val="24"/>
        </w:rPr>
        <w:t>Управління освіти Деснянської районної в місті Києві державної адміністрації</w:t>
      </w:r>
      <w:r w:rsidR="00A61F34">
        <w:rPr>
          <w:rFonts w:ascii="Times New Roman" w:hAnsi="Times New Roman" w:cs="Times New Roman"/>
          <w:sz w:val="24"/>
          <w:szCs w:val="24"/>
        </w:rPr>
        <w:t xml:space="preserve"> (код ЄДРПОУ: 37501684)</w:t>
      </w:r>
      <w:r w:rsidRPr="00B84E38">
        <w:rPr>
          <w:rFonts w:ascii="Times New Roman" w:hAnsi="Times New Roman" w:cs="Times New Roman"/>
          <w:sz w:val="24"/>
          <w:szCs w:val="24"/>
        </w:rPr>
        <w:t xml:space="preserve"> (далі – Замовник) надає пояснення по суті скарги № </w:t>
      </w:r>
      <w:r w:rsidR="009C5A73" w:rsidRPr="009C5A73">
        <w:rPr>
          <w:rFonts w:ascii="Times New Roman" w:hAnsi="Times New Roman" w:cs="Times New Roman"/>
          <w:sz w:val="24"/>
          <w:szCs w:val="24"/>
        </w:rPr>
        <w:t>UA-2025-09-22-013680-a.a2</w:t>
      </w:r>
      <w:r w:rsidR="009C5A73">
        <w:rPr>
          <w:rFonts w:ascii="Times New Roman" w:hAnsi="Times New Roman" w:cs="Times New Roman"/>
          <w:sz w:val="24"/>
          <w:szCs w:val="24"/>
        </w:rPr>
        <w:t xml:space="preserve"> в</w:t>
      </w:r>
      <w:r w:rsidR="004615C3" w:rsidRPr="00B84E38">
        <w:rPr>
          <w:rFonts w:ascii="Times New Roman" w:hAnsi="Times New Roman" w:cs="Times New Roman"/>
          <w:sz w:val="24"/>
          <w:szCs w:val="24"/>
        </w:rPr>
        <w:t xml:space="preserve">ід </w:t>
      </w:r>
      <w:r w:rsidR="009C5A73">
        <w:rPr>
          <w:rFonts w:ascii="Times New Roman" w:hAnsi="Times New Roman" w:cs="Times New Roman"/>
          <w:sz w:val="24"/>
          <w:szCs w:val="24"/>
        </w:rPr>
        <w:t>29</w:t>
      </w:r>
      <w:r w:rsidR="00337C23">
        <w:rPr>
          <w:rFonts w:ascii="Times New Roman" w:hAnsi="Times New Roman" w:cs="Times New Roman"/>
          <w:sz w:val="24"/>
          <w:szCs w:val="24"/>
          <w:lang w:val="ru-UA"/>
        </w:rPr>
        <w:t xml:space="preserve"> </w:t>
      </w:r>
      <w:proofErr w:type="spellStart"/>
      <w:r w:rsidR="00337C23">
        <w:rPr>
          <w:rFonts w:ascii="Times New Roman" w:hAnsi="Times New Roman" w:cs="Times New Roman"/>
          <w:sz w:val="24"/>
          <w:szCs w:val="24"/>
          <w:lang w:val="ru-UA"/>
        </w:rPr>
        <w:t>жовтня</w:t>
      </w:r>
      <w:proofErr w:type="spellEnd"/>
      <w:r w:rsidR="00263B11">
        <w:rPr>
          <w:rFonts w:ascii="Times New Roman" w:hAnsi="Times New Roman" w:cs="Times New Roman"/>
          <w:sz w:val="24"/>
          <w:szCs w:val="24"/>
        </w:rPr>
        <w:t xml:space="preserve"> 2025 року</w:t>
      </w:r>
      <w:r w:rsidR="004615C3" w:rsidRPr="00B84E38">
        <w:rPr>
          <w:rFonts w:ascii="Times New Roman" w:hAnsi="Times New Roman" w:cs="Times New Roman"/>
          <w:sz w:val="24"/>
          <w:szCs w:val="24"/>
        </w:rPr>
        <w:t xml:space="preserve"> </w:t>
      </w:r>
      <w:r w:rsidR="00263B11">
        <w:rPr>
          <w:rFonts w:ascii="Times New Roman" w:hAnsi="Times New Roman" w:cs="Times New Roman"/>
          <w:sz w:val="24"/>
          <w:szCs w:val="24"/>
        </w:rPr>
        <w:t>Т</w:t>
      </w:r>
      <w:r w:rsidR="00263B11" w:rsidRPr="00263B11">
        <w:rPr>
          <w:rFonts w:ascii="Times New Roman" w:hAnsi="Times New Roman" w:cs="Times New Roman"/>
          <w:sz w:val="24"/>
          <w:szCs w:val="24"/>
        </w:rPr>
        <w:t>овариств</w:t>
      </w:r>
      <w:r w:rsidR="00263B11">
        <w:rPr>
          <w:rFonts w:ascii="Times New Roman" w:hAnsi="Times New Roman" w:cs="Times New Roman"/>
          <w:sz w:val="24"/>
          <w:szCs w:val="24"/>
        </w:rPr>
        <w:t>а</w:t>
      </w:r>
      <w:r w:rsidR="00263B11" w:rsidRPr="00263B11">
        <w:rPr>
          <w:rFonts w:ascii="Times New Roman" w:hAnsi="Times New Roman" w:cs="Times New Roman"/>
          <w:sz w:val="24"/>
          <w:szCs w:val="24"/>
        </w:rPr>
        <w:t xml:space="preserve"> з обмеженою відповідальністю</w:t>
      </w:r>
      <w:r w:rsidR="00263B11">
        <w:rPr>
          <w:rFonts w:ascii="Times New Roman" w:hAnsi="Times New Roman" w:cs="Times New Roman"/>
          <w:sz w:val="24"/>
          <w:szCs w:val="24"/>
        </w:rPr>
        <w:t xml:space="preserve"> </w:t>
      </w:r>
      <w:r w:rsidR="00337C23" w:rsidRPr="00337C23">
        <w:rPr>
          <w:rFonts w:ascii="Times New Roman" w:hAnsi="Times New Roman" w:cs="Times New Roman"/>
          <w:sz w:val="24"/>
          <w:szCs w:val="24"/>
        </w:rPr>
        <w:t xml:space="preserve">"СПЕЦТЕХРЕСУРС" </w:t>
      </w:r>
      <w:r w:rsidR="00263B11" w:rsidRPr="00263B11">
        <w:rPr>
          <w:rFonts w:ascii="Times New Roman" w:hAnsi="Times New Roman" w:cs="Times New Roman"/>
          <w:sz w:val="24"/>
          <w:szCs w:val="24"/>
        </w:rPr>
        <w:t xml:space="preserve">(код ЄДРПОУ: </w:t>
      </w:r>
      <w:r w:rsidR="00337C23" w:rsidRPr="00337C23">
        <w:rPr>
          <w:rFonts w:ascii="Times New Roman" w:hAnsi="Times New Roman" w:cs="Times New Roman"/>
          <w:sz w:val="24"/>
          <w:szCs w:val="24"/>
        </w:rPr>
        <w:t>39346430</w:t>
      </w:r>
      <w:r w:rsidR="00263B11" w:rsidRPr="00263B11">
        <w:rPr>
          <w:rFonts w:ascii="Times New Roman" w:hAnsi="Times New Roman" w:cs="Times New Roman"/>
          <w:sz w:val="24"/>
          <w:szCs w:val="24"/>
        </w:rPr>
        <w:t xml:space="preserve">) </w:t>
      </w:r>
      <w:r w:rsidR="00A62DFA" w:rsidRPr="00B84E38">
        <w:rPr>
          <w:rFonts w:ascii="Times New Roman" w:hAnsi="Times New Roman" w:cs="Times New Roman"/>
          <w:sz w:val="24"/>
          <w:szCs w:val="24"/>
        </w:rPr>
        <w:t>(надалі – Скаржник)</w:t>
      </w:r>
      <w:r w:rsidR="00E76145" w:rsidRPr="00B84E38">
        <w:rPr>
          <w:rFonts w:ascii="Times New Roman" w:hAnsi="Times New Roman" w:cs="Times New Roman"/>
          <w:sz w:val="24"/>
          <w:szCs w:val="24"/>
        </w:rPr>
        <w:t xml:space="preserve"> по закуп</w:t>
      </w:r>
      <w:r w:rsidR="00A77C81" w:rsidRPr="00B84E38">
        <w:rPr>
          <w:rFonts w:ascii="Times New Roman" w:hAnsi="Times New Roman" w:cs="Times New Roman"/>
          <w:sz w:val="24"/>
          <w:szCs w:val="24"/>
        </w:rPr>
        <w:t xml:space="preserve">івлі </w:t>
      </w:r>
      <w:r w:rsidR="00337C23" w:rsidRPr="00337C23">
        <w:rPr>
          <w:rFonts w:ascii="Times New Roman" w:eastAsia="Times New Roman" w:hAnsi="Times New Roman"/>
          <w:sz w:val="24"/>
          <w:szCs w:val="24"/>
          <w:lang w:eastAsia="ru-RU"/>
        </w:rPr>
        <w:t>"Капітальний ремонт фасаду із застосуванням</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заходів з енергозбереження в закладі дошкільної</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освіти (ясла-садок) № 753 компенсуючого типу</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(спеціальний) Деснянського району міста Києва,</w:t>
      </w:r>
      <w:r w:rsidR="00337C23">
        <w:rPr>
          <w:rFonts w:ascii="Times New Roman" w:eastAsia="Times New Roman" w:hAnsi="Times New Roman"/>
          <w:sz w:val="24"/>
          <w:szCs w:val="24"/>
          <w:lang w:val="ru-UA" w:eastAsia="ru-RU"/>
        </w:rPr>
        <w:t xml:space="preserve"> </w:t>
      </w:r>
      <w:r w:rsidR="00337C23" w:rsidRPr="00337C23">
        <w:rPr>
          <w:rFonts w:ascii="Times New Roman" w:eastAsia="Times New Roman" w:hAnsi="Times New Roman"/>
          <w:sz w:val="24"/>
          <w:szCs w:val="24"/>
          <w:lang w:eastAsia="ru-RU"/>
        </w:rPr>
        <w:t>вул. Миколи Закревського, 37-А"</w:t>
      </w:r>
      <w:r w:rsidR="00263B11" w:rsidRPr="00263B11">
        <w:rPr>
          <w:rFonts w:ascii="Times New Roman" w:eastAsia="Times New Roman" w:hAnsi="Times New Roman"/>
          <w:sz w:val="24"/>
          <w:szCs w:val="24"/>
          <w:lang w:eastAsia="ru-RU"/>
        </w:rPr>
        <w:t xml:space="preserve"> </w:t>
      </w:r>
      <w:r w:rsidR="00A77C81" w:rsidRPr="00B84E38">
        <w:rPr>
          <w:rFonts w:ascii="Times New Roman" w:eastAsia="Times New Roman" w:hAnsi="Times New Roman"/>
          <w:sz w:val="24"/>
          <w:szCs w:val="24"/>
          <w:lang w:eastAsia="ru-RU"/>
        </w:rPr>
        <w:t>(ідентифікатор закупівлі:</w:t>
      </w:r>
      <w:r w:rsidR="00A77C81" w:rsidRPr="00B84E38">
        <w:rPr>
          <w:rFonts w:ascii="Times New Roman" w:hAnsi="Times New Roman"/>
          <w:sz w:val="24"/>
          <w:szCs w:val="24"/>
        </w:rPr>
        <w:t xml:space="preserve"> </w:t>
      </w:r>
      <w:r w:rsidR="00337C23" w:rsidRPr="00337C23">
        <w:rPr>
          <w:rFonts w:ascii="Times New Roman" w:eastAsia="Times New Roman" w:hAnsi="Times New Roman"/>
          <w:sz w:val="24"/>
          <w:szCs w:val="24"/>
          <w:lang w:eastAsia="ru-RU"/>
        </w:rPr>
        <w:t>UA-2025-09-22-013680-a</w:t>
      </w:r>
      <w:r w:rsidR="00A77C81" w:rsidRPr="00B84E38">
        <w:rPr>
          <w:rFonts w:ascii="Times New Roman" w:eastAsia="Times New Roman" w:hAnsi="Times New Roman"/>
          <w:sz w:val="24"/>
          <w:szCs w:val="24"/>
          <w:lang w:eastAsia="ru-RU"/>
        </w:rPr>
        <w:t>)</w:t>
      </w:r>
      <w:r w:rsidR="00F23FEF" w:rsidRPr="00B84E38">
        <w:rPr>
          <w:rFonts w:ascii="Times New Roman" w:eastAsia="Times New Roman" w:hAnsi="Times New Roman"/>
          <w:sz w:val="24"/>
          <w:szCs w:val="24"/>
          <w:lang w:eastAsia="ru-RU"/>
        </w:rPr>
        <w:t xml:space="preserve"> (далі- Закупівля)</w:t>
      </w:r>
      <w:r w:rsidR="00A77C81" w:rsidRPr="00B84E38">
        <w:rPr>
          <w:rFonts w:ascii="Times New Roman" w:eastAsia="Times New Roman" w:hAnsi="Times New Roman"/>
          <w:sz w:val="24"/>
          <w:szCs w:val="24"/>
          <w:lang w:eastAsia="ru-RU"/>
        </w:rPr>
        <w:t>.</w:t>
      </w:r>
    </w:p>
    <w:p w14:paraId="62ECDCD5" w14:textId="77777777" w:rsidR="009C5A73" w:rsidRPr="00061CC6" w:rsidRDefault="009C5A73" w:rsidP="009C5A73">
      <w:pPr>
        <w:pStyle w:val="a6"/>
        <w:spacing w:after="0" w:line="240" w:lineRule="auto"/>
        <w:ind w:left="426" w:right="281"/>
        <w:jc w:val="both"/>
        <w:rPr>
          <w:rFonts w:ascii="Times New Roman" w:hAnsi="Times New Roman"/>
          <w:sz w:val="24"/>
          <w:szCs w:val="24"/>
        </w:rPr>
      </w:pPr>
    </w:p>
    <w:p w14:paraId="33E0C7B3" w14:textId="77777777" w:rsidR="009C5A73" w:rsidRPr="009A33EB" w:rsidRDefault="009C5A73" w:rsidP="009C5A73">
      <w:pPr>
        <w:pStyle w:val="a6"/>
        <w:numPr>
          <w:ilvl w:val="0"/>
          <w:numId w:val="18"/>
        </w:numPr>
        <w:spacing w:after="0" w:line="240" w:lineRule="auto"/>
        <w:ind w:left="0" w:right="-1"/>
        <w:jc w:val="both"/>
        <w:rPr>
          <w:rFonts w:ascii="Times New Roman" w:hAnsi="Times New Roman"/>
          <w:b/>
          <w:bCs/>
          <w:i/>
          <w:sz w:val="24"/>
          <w:szCs w:val="24"/>
        </w:rPr>
      </w:pPr>
      <w:r w:rsidRPr="00061CC6">
        <w:rPr>
          <w:rFonts w:ascii="Times New Roman" w:hAnsi="Times New Roman"/>
          <w:b/>
          <w:bCs/>
          <w:i/>
          <w:sz w:val="24"/>
          <w:szCs w:val="24"/>
        </w:rPr>
        <w:t>Щодо наявності в учасника основного обладнання та устаткування матеріально-технічної бази та технологій</w:t>
      </w:r>
    </w:p>
    <w:p w14:paraId="5159DC38" w14:textId="77777777" w:rsidR="009C5A73" w:rsidRPr="00061CC6" w:rsidRDefault="009C5A73" w:rsidP="009C5A73">
      <w:pPr>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Відповідно до пункту 1 частини 1.2 додатку 1 до тендерної документації  на підтвердження наявності в учасника процедури закупівлі обладнання, матеріально-технічної бази та технологій необхідно надати:</w:t>
      </w:r>
    </w:p>
    <w:p w14:paraId="7F62210A"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xml:space="preserve">1.1. Довідку про наявність в учасника основного обладнання та устаткування матеріально-технічної бази та технологій, а саме, обов’язкове зазначення: </w:t>
      </w:r>
    </w:p>
    <w:p w14:paraId="729A6E85"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xml:space="preserve">- офісного та/або складського приміщення; </w:t>
      </w:r>
    </w:p>
    <w:p w14:paraId="298EE81E"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xml:space="preserve">- основних будівельних машин і механізмів які будуть задіяні при виконанні робіт, а саме: кран на автомобільному ходу; </w:t>
      </w:r>
      <w:r w:rsidRPr="001A6E65">
        <w:rPr>
          <w:rFonts w:ascii="Times New Roman" w:hAnsi="Times New Roman"/>
          <w:b/>
          <w:i/>
          <w:iCs/>
          <w:sz w:val="24"/>
          <w:szCs w:val="24"/>
          <w:u w:val="single"/>
        </w:rPr>
        <w:t>навантажувач.</w:t>
      </w:r>
    </w:p>
    <w:p w14:paraId="6A6B8DDA"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xml:space="preserve">- основного обладнання та устаткування які будуть використовуватись при виконанні робіт, а саме: люлька </w:t>
      </w:r>
      <w:proofErr w:type="spellStart"/>
      <w:r w:rsidRPr="001A6E65">
        <w:rPr>
          <w:rFonts w:ascii="Times New Roman" w:hAnsi="Times New Roman"/>
          <w:i/>
          <w:iCs/>
          <w:sz w:val="24"/>
          <w:szCs w:val="24"/>
        </w:rPr>
        <w:t>самопідйомна</w:t>
      </w:r>
      <w:proofErr w:type="spellEnd"/>
      <w:r w:rsidRPr="001A6E65">
        <w:rPr>
          <w:rFonts w:ascii="Times New Roman" w:hAnsi="Times New Roman"/>
          <w:i/>
          <w:iCs/>
          <w:sz w:val="24"/>
          <w:szCs w:val="24"/>
        </w:rPr>
        <w:t>; котел бітумний; установка для зварювання/апарат для зварювання; лебідка електрична/підіймач електричний; компресор.</w:t>
      </w:r>
    </w:p>
    <w:p w14:paraId="3B2DE4EC" w14:textId="77777777" w:rsidR="009C5A73" w:rsidRPr="001A6E65" w:rsidRDefault="009C5A73" w:rsidP="009C5A73">
      <w:pPr>
        <w:spacing w:after="0" w:line="240" w:lineRule="auto"/>
        <w:ind w:right="-1" w:firstLine="708"/>
        <w:jc w:val="both"/>
        <w:rPr>
          <w:rFonts w:ascii="Times New Roman" w:hAnsi="Times New Roman"/>
          <w:b/>
          <w:i/>
          <w:iCs/>
          <w:sz w:val="24"/>
          <w:szCs w:val="24"/>
          <w:u w:val="single"/>
        </w:rPr>
      </w:pPr>
      <w:r w:rsidRPr="001A6E65">
        <w:rPr>
          <w:rFonts w:ascii="Times New Roman" w:hAnsi="Times New Roman"/>
          <w:i/>
          <w:iCs/>
          <w:sz w:val="24"/>
          <w:szCs w:val="24"/>
        </w:rPr>
        <w:t xml:space="preserve">1.2. </w:t>
      </w:r>
      <w:r w:rsidRPr="001A6E65">
        <w:rPr>
          <w:rFonts w:ascii="Times New Roman" w:hAnsi="Times New Roman"/>
          <w:bCs/>
          <w:i/>
          <w:iCs/>
          <w:sz w:val="24"/>
          <w:szCs w:val="24"/>
        </w:rPr>
        <w:t>Для підтвердження інформації, зазначеної в Довідці згідно п.1.1., учасник повинен надати:</w:t>
      </w:r>
      <w:r w:rsidRPr="001A6E65">
        <w:rPr>
          <w:rFonts w:ascii="Times New Roman" w:hAnsi="Times New Roman"/>
          <w:b/>
          <w:i/>
          <w:iCs/>
          <w:sz w:val="24"/>
          <w:szCs w:val="24"/>
          <w:u w:val="single"/>
        </w:rPr>
        <w:t xml:space="preserve"> </w:t>
      </w:r>
    </w:p>
    <w:p w14:paraId="6AB40DD2" w14:textId="77777777" w:rsidR="009C5A73" w:rsidRPr="001A6E65" w:rsidRDefault="009C5A73" w:rsidP="009C5A73">
      <w:pPr>
        <w:spacing w:after="0" w:line="240" w:lineRule="auto"/>
        <w:ind w:right="-1" w:firstLine="708"/>
        <w:jc w:val="both"/>
        <w:rPr>
          <w:rFonts w:ascii="Times New Roman" w:hAnsi="Times New Roman"/>
          <w:bCs/>
          <w:i/>
          <w:iCs/>
          <w:sz w:val="24"/>
          <w:szCs w:val="24"/>
        </w:rPr>
      </w:pPr>
      <w:r w:rsidRPr="001A6E65">
        <w:rPr>
          <w:rFonts w:ascii="Times New Roman" w:hAnsi="Times New Roman"/>
          <w:bCs/>
          <w:i/>
          <w:iCs/>
          <w:sz w:val="24"/>
          <w:szCs w:val="24"/>
        </w:rPr>
        <w:t>1.2.2. у разі, якщо обладнання та матеріально-технічна база залучені учасником, надаються:</w:t>
      </w:r>
    </w:p>
    <w:p w14:paraId="18831432"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для підтвердження наявності нерухомого майна, – договір оренди/суборенди/лізингу з актами приймання-передачі;</w:t>
      </w:r>
    </w:p>
    <w:p w14:paraId="77AA9302"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xml:space="preserve">- для підтвердження наявності будівельних машин і механізмів,– </w:t>
      </w:r>
      <w:r w:rsidRPr="001A6E65">
        <w:rPr>
          <w:rFonts w:ascii="Times New Roman" w:hAnsi="Times New Roman"/>
          <w:b/>
          <w:i/>
          <w:iCs/>
          <w:sz w:val="24"/>
          <w:szCs w:val="24"/>
        </w:rPr>
        <w:t>свідоцтво про реєстрацію</w:t>
      </w:r>
      <w:r w:rsidRPr="001A6E65">
        <w:rPr>
          <w:rFonts w:ascii="Times New Roman" w:hAnsi="Times New Roman"/>
          <w:i/>
          <w:iCs/>
          <w:sz w:val="24"/>
          <w:szCs w:val="24"/>
        </w:rPr>
        <w:t xml:space="preserve"> транспортного засобу/</w:t>
      </w:r>
      <w:r w:rsidRPr="007E584B">
        <w:rPr>
          <w:rFonts w:ascii="Times New Roman" w:hAnsi="Times New Roman"/>
          <w:b/>
          <w:bCs/>
          <w:i/>
          <w:iCs/>
          <w:sz w:val="24"/>
          <w:szCs w:val="24"/>
        </w:rPr>
        <w:t>машини</w:t>
      </w:r>
      <w:r w:rsidRPr="001A6E65">
        <w:rPr>
          <w:rFonts w:ascii="Times New Roman" w:hAnsi="Times New Roman"/>
          <w:i/>
          <w:iCs/>
          <w:sz w:val="24"/>
          <w:szCs w:val="24"/>
        </w:rPr>
        <w:t xml:space="preserve">/великотоннажного транспортного засобу/технологічного транспортного засобу </w:t>
      </w:r>
      <w:r w:rsidRPr="001A6E65">
        <w:rPr>
          <w:rFonts w:ascii="Times New Roman" w:hAnsi="Times New Roman"/>
          <w:b/>
          <w:i/>
          <w:iCs/>
          <w:sz w:val="24"/>
          <w:szCs w:val="24"/>
        </w:rPr>
        <w:t xml:space="preserve">та </w:t>
      </w:r>
      <w:r w:rsidRPr="007E584B">
        <w:rPr>
          <w:rFonts w:ascii="Times New Roman" w:hAnsi="Times New Roman"/>
          <w:bCs/>
          <w:i/>
          <w:iCs/>
          <w:sz w:val="24"/>
          <w:szCs w:val="24"/>
        </w:rPr>
        <w:t>договір</w:t>
      </w:r>
      <w:r w:rsidRPr="001A6E65">
        <w:rPr>
          <w:rFonts w:ascii="Times New Roman" w:hAnsi="Times New Roman"/>
          <w:b/>
          <w:i/>
          <w:iCs/>
          <w:sz w:val="24"/>
          <w:szCs w:val="24"/>
        </w:rPr>
        <w:t xml:space="preserve"> </w:t>
      </w:r>
      <w:r w:rsidRPr="001A6E65">
        <w:rPr>
          <w:rFonts w:ascii="Times New Roman" w:hAnsi="Times New Roman"/>
          <w:i/>
          <w:iCs/>
          <w:sz w:val="24"/>
          <w:szCs w:val="24"/>
        </w:rPr>
        <w:t>оренди/суборенди/лізингу/</w:t>
      </w:r>
      <w:r w:rsidRPr="007E584B">
        <w:rPr>
          <w:rFonts w:ascii="Times New Roman" w:hAnsi="Times New Roman"/>
          <w:b/>
          <w:bCs/>
          <w:i/>
          <w:iCs/>
          <w:sz w:val="24"/>
          <w:szCs w:val="24"/>
        </w:rPr>
        <w:t>інший договір, передбачений законодавством,</w:t>
      </w:r>
      <w:r w:rsidRPr="001A6E65">
        <w:rPr>
          <w:rFonts w:ascii="Times New Roman" w:hAnsi="Times New Roman"/>
          <w:i/>
          <w:iCs/>
          <w:sz w:val="24"/>
          <w:szCs w:val="24"/>
        </w:rPr>
        <w:t xml:space="preserve"> з актом приймання-передачі транспортного засобу в передбачених умовами договору випадках (у разі, якщо власник будівельних машин і механізмів не є контрагентом по договору з учасником цієї закупівлі, додатково надається договір, стороною якого є власник </w:t>
      </w:r>
      <w:r w:rsidRPr="001A6E65">
        <w:rPr>
          <w:rFonts w:ascii="Times New Roman" w:hAnsi="Times New Roman"/>
          <w:i/>
          <w:iCs/>
          <w:sz w:val="24"/>
          <w:szCs w:val="24"/>
        </w:rPr>
        <w:lastRenderedPageBreak/>
        <w:t>будівельних машин і механізмів, на підставі якого укладено договір на користування будівельних машин і механізмів з учасником);</w:t>
      </w:r>
    </w:p>
    <w:p w14:paraId="65D6B38D" w14:textId="77777777" w:rsidR="009C5A73" w:rsidRPr="001A6E65" w:rsidRDefault="009C5A73" w:rsidP="009C5A73">
      <w:pPr>
        <w:spacing w:after="0" w:line="240" w:lineRule="auto"/>
        <w:ind w:right="-1" w:firstLine="708"/>
        <w:jc w:val="both"/>
        <w:rPr>
          <w:rFonts w:ascii="Times New Roman" w:hAnsi="Times New Roman"/>
          <w:i/>
          <w:iCs/>
          <w:sz w:val="24"/>
          <w:szCs w:val="24"/>
        </w:rPr>
      </w:pPr>
      <w:r w:rsidRPr="001A6E65">
        <w:rPr>
          <w:rFonts w:ascii="Times New Roman" w:hAnsi="Times New Roman"/>
          <w:i/>
          <w:iCs/>
          <w:sz w:val="24"/>
          <w:szCs w:val="24"/>
        </w:rPr>
        <w:t>- для підтвердження наявності обладнання та устаткування – договір оренди/суборенди/лізингу/ інший договір, передбачений законодавством.</w:t>
      </w:r>
    </w:p>
    <w:p w14:paraId="78B323ED" w14:textId="77777777" w:rsidR="009C5A73" w:rsidRPr="00061CC6" w:rsidRDefault="009C5A73" w:rsidP="009C5A73">
      <w:pPr>
        <w:spacing w:after="0" w:line="240" w:lineRule="auto"/>
        <w:ind w:right="-1" w:firstLine="708"/>
        <w:jc w:val="both"/>
        <w:rPr>
          <w:rFonts w:ascii="Times New Roman" w:hAnsi="Times New Roman"/>
          <w:sz w:val="24"/>
          <w:szCs w:val="24"/>
        </w:rPr>
      </w:pPr>
      <w:r w:rsidRPr="001A6E65">
        <w:rPr>
          <w:rFonts w:ascii="Times New Roman" w:hAnsi="Times New Roman"/>
          <w:i/>
          <w:iCs/>
          <w:sz w:val="24"/>
          <w:szCs w:val="24"/>
        </w:rPr>
        <w:t>Договори мають бути чинні на день кінцевого терміну подання тендерної пропозиції</w:t>
      </w:r>
      <w:r w:rsidRPr="00061CC6">
        <w:rPr>
          <w:rFonts w:ascii="Times New Roman" w:hAnsi="Times New Roman"/>
          <w:sz w:val="24"/>
          <w:szCs w:val="24"/>
        </w:rPr>
        <w:t>.</w:t>
      </w:r>
    </w:p>
    <w:p w14:paraId="0B763708" w14:textId="77777777" w:rsidR="009C5A73" w:rsidRPr="00061CC6" w:rsidRDefault="009C5A73" w:rsidP="009C5A73">
      <w:pPr>
        <w:spacing w:after="0" w:line="240" w:lineRule="auto"/>
        <w:ind w:right="-1" w:firstLine="708"/>
        <w:jc w:val="both"/>
        <w:rPr>
          <w:rFonts w:ascii="Times New Roman" w:hAnsi="Times New Roman"/>
          <w:sz w:val="24"/>
          <w:szCs w:val="24"/>
        </w:rPr>
      </w:pPr>
    </w:p>
    <w:p w14:paraId="5129F22A" w14:textId="77777777" w:rsidR="009C5A73" w:rsidRPr="00061CC6" w:rsidRDefault="009C5A73" w:rsidP="009C5A73">
      <w:pPr>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На виконання зазначеної вимоги Переможець надав у складі тендерної пропозиції:</w:t>
      </w:r>
    </w:p>
    <w:p w14:paraId="513C214E" w14:textId="77777777" w:rsidR="009C5A73" w:rsidRPr="004E79E2" w:rsidRDefault="009C5A73" w:rsidP="009C5A73">
      <w:pPr>
        <w:numPr>
          <w:ilvl w:val="0"/>
          <w:numId w:val="19"/>
        </w:numPr>
        <w:spacing w:after="0" w:line="240" w:lineRule="auto"/>
        <w:ind w:left="0" w:right="-1"/>
        <w:jc w:val="both"/>
        <w:rPr>
          <w:rFonts w:ascii="Times New Roman" w:hAnsi="Times New Roman"/>
          <w:sz w:val="24"/>
          <w:szCs w:val="24"/>
        </w:rPr>
      </w:pPr>
      <w:r w:rsidRPr="00061CC6">
        <w:rPr>
          <w:rFonts w:ascii="Times New Roman" w:hAnsi="Times New Roman"/>
          <w:sz w:val="24"/>
          <w:szCs w:val="24"/>
        </w:rPr>
        <w:t xml:space="preserve">довідку від 02.10.2025 </w:t>
      </w:r>
      <w:proofErr w:type="spellStart"/>
      <w:r w:rsidRPr="00061CC6">
        <w:rPr>
          <w:rFonts w:ascii="Times New Roman" w:hAnsi="Times New Roman"/>
          <w:sz w:val="24"/>
          <w:szCs w:val="24"/>
        </w:rPr>
        <w:t>вих</w:t>
      </w:r>
      <w:proofErr w:type="spellEnd"/>
      <w:r w:rsidRPr="00061CC6">
        <w:rPr>
          <w:rFonts w:ascii="Times New Roman" w:hAnsi="Times New Roman"/>
          <w:sz w:val="24"/>
          <w:szCs w:val="24"/>
        </w:rPr>
        <w:t>. № 38/1, в якій зазначено «</w:t>
      </w:r>
      <w:r w:rsidRPr="004E79E2">
        <w:rPr>
          <w:rFonts w:ascii="Times New Roman" w:hAnsi="Times New Roman"/>
          <w:sz w:val="24"/>
          <w:szCs w:val="24"/>
        </w:rPr>
        <w:t xml:space="preserve">Екскаватор-навантажувач </w:t>
      </w:r>
      <w:r w:rsidRPr="004E79E2">
        <w:rPr>
          <w:rFonts w:ascii="Times New Roman" w:hAnsi="Times New Roman"/>
          <w:sz w:val="24"/>
          <w:szCs w:val="24"/>
          <w:lang w:val="de-DE"/>
        </w:rPr>
        <w:t>JCB</w:t>
      </w:r>
      <w:r w:rsidRPr="004E79E2">
        <w:rPr>
          <w:rFonts w:ascii="Times New Roman" w:hAnsi="Times New Roman"/>
          <w:sz w:val="24"/>
          <w:szCs w:val="24"/>
        </w:rPr>
        <w:t xml:space="preserve"> 3</w:t>
      </w:r>
      <w:r w:rsidRPr="004E79E2">
        <w:rPr>
          <w:rFonts w:ascii="Times New Roman" w:hAnsi="Times New Roman"/>
          <w:sz w:val="24"/>
          <w:szCs w:val="24"/>
          <w:lang w:val="de-DE"/>
        </w:rPr>
        <w:t>CX</w:t>
      </w:r>
      <w:r w:rsidRPr="004E79E2">
        <w:rPr>
          <w:rFonts w:ascii="Times New Roman" w:hAnsi="Times New Roman"/>
          <w:sz w:val="24"/>
          <w:szCs w:val="24"/>
        </w:rPr>
        <w:t xml:space="preserve"> </w:t>
      </w:r>
      <w:r w:rsidRPr="004E79E2">
        <w:rPr>
          <w:rFonts w:ascii="Times New Roman" w:hAnsi="Times New Roman"/>
          <w:sz w:val="24"/>
          <w:szCs w:val="24"/>
          <w:lang w:val="de-DE"/>
        </w:rPr>
        <w:t>SITEMASTER</w:t>
      </w:r>
      <w:r w:rsidRPr="004E79E2">
        <w:rPr>
          <w:rFonts w:ascii="Times New Roman" w:hAnsi="Times New Roman"/>
          <w:sz w:val="24"/>
          <w:szCs w:val="24"/>
        </w:rPr>
        <w:t>»</w:t>
      </w:r>
      <w:r>
        <w:rPr>
          <w:rFonts w:ascii="Times New Roman" w:hAnsi="Times New Roman"/>
          <w:sz w:val="24"/>
          <w:szCs w:val="24"/>
        </w:rPr>
        <w:t xml:space="preserve"> (</w:t>
      </w:r>
      <w:r w:rsidRPr="001E4C2C">
        <w:rPr>
          <w:rFonts w:ascii="Times New Roman" w:hAnsi="Times New Roman"/>
          <w:sz w:val="24"/>
          <w:szCs w:val="24"/>
        </w:rPr>
        <w:t>файл</w:t>
      </w:r>
      <w:r w:rsidRPr="009113F5">
        <w:rPr>
          <w:rFonts w:ascii="Times New Roman" w:hAnsi="Times New Roman"/>
          <w:sz w:val="24"/>
          <w:szCs w:val="24"/>
        </w:rPr>
        <w:t xml:space="preserve"> 6.1 Довідка про наявність обладнання.pdf</w:t>
      </w:r>
      <w:r>
        <w:rPr>
          <w:rFonts w:ascii="Times New Roman" w:hAnsi="Times New Roman"/>
          <w:sz w:val="24"/>
          <w:szCs w:val="24"/>
        </w:rPr>
        <w:t>)</w:t>
      </w:r>
      <w:r w:rsidRPr="004E79E2">
        <w:rPr>
          <w:rFonts w:ascii="Times New Roman" w:hAnsi="Times New Roman"/>
          <w:sz w:val="24"/>
          <w:szCs w:val="24"/>
        </w:rPr>
        <w:t>;</w:t>
      </w:r>
    </w:p>
    <w:p w14:paraId="0AD68455" w14:textId="77777777" w:rsidR="009C5A73" w:rsidRPr="004E79E2" w:rsidRDefault="009C5A73" w:rsidP="009C5A73">
      <w:pPr>
        <w:numPr>
          <w:ilvl w:val="0"/>
          <w:numId w:val="19"/>
        </w:numPr>
        <w:spacing w:after="0" w:line="240" w:lineRule="auto"/>
        <w:ind w:left="0" w:right="-1"/>
        <w:jc w:val="both"/>
        <w:rPr>
          <w:rFonts w:ascii="Times New Roman" w:hAnsi="Times New Roman"/>
          <w:sz w:val="24"/>
          <w:szCs w:val="24"/>
        </w:rPr>
      </w:pPr>
      <w:r w:rsidRPr="004E79E2">
        <w:rPr>
          <w:rFonts w:ascii="Times New Roman" w:hAnsi="Times New Roman"/>
          <w:sz w:val="24"/>
          <w:szCs w:val="24"/>
        </w:rPr>
        <w:t>свідоцтво про реєстрацію машини серія ОМ № 136752 від 15.07.2021, в якому зазначено інформацію про Екскаватор-навантажувач JCB 3CX SITEMASTER</w:t>
      </w:r>
      <w:r>
        <w:rPr>
          <w:rFonts w:ascii="Times New Roman" w:hAnsi="Times New Roman"/>
          <w:sz w:val="24"/>
          <w:szCs w:val="24"/>
        </w:rPr>
        <w:t xml:space="preserve">, власник ТОВ «ДБУ «Мегаполіс» </w:t>
      </w:r>
      <w:r w:rsidRPr="001E4C2C">
        <w:rPr>
          <w:rFonts w:ascii="Times New Roman" w:hAnsi="Times New Roman"/>
          <w:sz w:val="24"/>
          <w:szCs w:val="24"/>
        </w:rPr>
        <w:t>(файл</w:t>
      </w:r>
      <w:r>
        <w:rPr>
          <w:rFonts w:ascii="Times New Roman" w:hAnsi="Times New Roman"/>
          <w:sz w:val="24"/>
          <w:szCs w:val="24"/>
        </w:rPr>
        <w:t xml:space="preserve"> </w:t>
      </w:r>
      <w:r w:rsidRPr="009113F5">
        <w:rPr>
          <w:rFonts w:ascii="Times New Roman" w:hAnsi="Times New Roman"/>
          <w:sz w:val="24"/>
          <w:szCs w:val="24"/>
        </w:rPr>
        <w:t>6.1.3 Свідоцтво Екскаватор-навантажувач JCB 3CX SITEMASTER.pdf</w:t>
      </w:r>
      <w:r>
        <w:rPr>
          <w:rFonts w:ascii="Times New Roman" w:hAnsi="Times New Roman"/>
          <w:sz w:val="24"/>
          <w:szCs w:val="24"/>
        </w:rPr>
        <w:t>)</w:t>
      </w:r>
      <w:r w:rsidRPr="004E79E2">
        <w:rPr>
          <w:rFonts w:ascii="Times New Roman" w:hAnsi="Times New Roman"/>
          <w:sz w:val="24"/>
          <w:szCs w:val="24"/>
        </w:rPr>
        <w:t>;</w:t>
      </w:r>
    </w:p>
    <w:p w14:paraId="629F5FEF" w14:textId="77777777" w:rsidR="009C5A73" w:rsidRPr="00061CC6" w:rsidRDefault="009C5A73" w:rsidP="009C5A73">
      <w:pPr>
        <w:numPr>
          <w:ilvl w:val="0"/>
          <w:numId w:val="19"/>
        </w:numPr>
        <w:spacing w:after="0" w:line="240" w:lineRule="auto"/>
        <w:ind w:left="0" w:right="-1"/>
        <w:jc w:val="both"/>
        <w:rPr>
          <w:rFonts w:ascii="Times New Roman" w:hAnsi="Times New Roman"/>
          <w:sz w:val="24"/>
          <w:szCs w:val="24"/>
        </w:rPr>
      </w:pPr>
      <w:r w:rsidRPr="004E79E2">
        <w:rPr>
          <w:rFonts w:ascii="Times New Roman" w:hAnsi="Times New Roman"/>
          <w:sz w:val="24"/>
          <w:szCs w:val="24"/>
        </w:rPr>
        <w:t xml:space="preserve">договір </w:t>
      </w:r>
      <w:r>
        <w:rPr>
          <w:rFonts w:ascii="Times New Roman" w:hAnsi="Times New Roman"/>
          <w:sz w:val="24"/>
          <w:szCs w:val="24"/>
        </w:rPr>
        <w:t xml:space="preserve">з ТОВ «ДБУ «Мегаполіс» </w:t>
      </w:r>
      <w:r w:rsidRPr="004E79E2">
        <w:rPr>
          <w:rFonts w:ascii="Times New Roman" w:hAnsi="Times New Roman"/>
          <w:sz w:val="24"/>
          <w:szCs w:val="24"/>
        </w:rPr>
        <w:t>про надання послуг спецтехнікою, механізмами від 01.10.2025 № ДБУ/01102025/2642/34, згідно п. 16 Додатка № 1 до якого передбачено надання послуг, зокрема Екскаватором (</w:t>
      </w:r>
      <w:r w:rsidRPr="004E79E2">
        <w:rPr>
          <w:rFonts w:ascii="Times New Roman" w:hAnsi="Times New Roman"/>
          <w:sz w:val="24"/>
          <w:szCs w:val="24"/>
          <w:lang w:val="de-DE"/>
        </w:rPr>
        <w:t>JCB</w:t>
      </w:r>
      <w:r w:rsidRPr="004E79E2">
        <w:rPr>
          <w:rFonts w:ascii="Times New Roman" w:hAnsi="Times New Roman"/>
          <w:sz w:val="24"/>
          <w:szCs w:val="24"/>
        </w:rPr>
        <w:t xml:space="preserve"> 3</w:t>
      </w:r>
      <w:r w:rsidRPr="004E79E2">
        <w:rPr>
          <w:rFonts w:ascii="Times New Roman" w:hAnsi="Times New Roman"/>
          <w:sz w:val="24"/>
          <w:szCs w:val="24"/>
          <w:lang w:val="de-DE"/>
        </w:rPr>
        <w:t>CX</w:t>
      </w:r>
      <w:r w:rsidRPr="004E79E2">
        <w:rPr>
          <w:rFonts w:ascii="Times New Roman" w:hAnsi="Times New Roman"/>
          <w:sz w:val="24"/>
          <w:szCs w:val="24"/>
        </w:rPr>
        <w:t>)</w:t>
      </w:r>
      <w:r w:rsidRPr="009113F5">
        <w:rPr>
          <w:rFonts w:ascii="Times New Roman" w:hAnsi="Times New Roman"/>
          <w:sz w:val="24"/>
          <w:szCs w:val="24"/>
        </w:rPr>
        <w:t xml:space="preserve"> </w:t>
      </w:r>
      <w:r w:rsidRPr="001E4C2C">
        <w:rPr>
          <w:rFonts w:ascii="Times New Roman" w:hAnsi="Times New Roman"/>
          <w:sz w:val="24"/>
          <w:szCs w:val="24"/>
        </w:rPr>
        <w:t>(файл 6.1.4 Договір екскаватор навантажувач.pdf)</w:t>
      </w:r>
      <w:r>
        <w:rPr>
          <w:rFonts w:ascii="Times New Roman" w:hAnsi="Times New Roman"/>
          <w:sz w:val="24"/>
          <w:szCs w:val="24"/>
        </w:rPr>
        <w:t>.</w:t>
      </w:r>
    </w:p>
    <w:p w14:paraId="1730305D"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Отже, переможцем підтверджено наявність залученого </w:t>
      </w:r>
      <w:r w:rsidRPr="004E79E2">
        <w:rPr>
          <w:rFonts w:ascii="Times New Roman" w:hAnsi="Times New Roman"/>
          <w:sz w:val="24"/>
          <w:szCs w:val="24"/>
        </w:rPr>
        <w:t>навантажувач</w:t>
      </w:r>
      <w:r>
        <w:rPr>
          <w:rFonts w:ascii="Times New Roman" w:hAnsi="Times New Roman"/>
          <w:sz w:val="24"/>
          <w:szCs w:val="24"/>
        </w:rPr>
        <w:t>а шляхом</w:t>
      </w:r>
      <w:r w:rsidRPr="00061CC6">
        <w:rPr>
          <w:rFonts w:ascii="Times New Roman" w:hAnsi="Times New Roman"/>
          <w:sz w:val="24"/>
          <w:szCs w:val="24"/>
        </w:rPr>
        <w:t xml:space="preserve"> </w:t>
      </w:r>
      <w:r>
        <w:rPr>
          <w:rFonts w:ascii="Times New Roman" w:hAnsi="Times New Roman"/>
          <w:sz w:val="24"/>
          <w:szCs w:val="24"/>
        </w:rPr>
        <w:t xml:space="preserve">надання </w:t>
      </w:r>
      <w:r w:rsidRPr="007E584B">
        <w:rPr>
          <w:rFonts w:ascii="Times New Roman" w:hAnsi="Times New Roman"/>
          <w:sz w:val="24"/>
          <w:szCs w:val="24"/>
        </w:rPr>
        <w:t>свідоцтв</w:t>
      </w:r>
      <w:r>
        <w:rPr>
          <w:rFonts w:ascii="Times New Roman" w:hAnsi="Times New Roman"/>
          <w:sz w:val="24"/>
          <w:szCs w:val="24"/>
        </w:rPr>
        <w:t>а</w:t>
      </w:r>
      <w:r w:rsidRPr="007E584B">
        <w:rPr>
          <w:rFonts w:ascii="Times New Roman" w:hAnsi="Times New Roman"/>
          <w:sz w:val="24"/>
          <w:szCs w:val="24"/>
        </w:rPr>
        <w:t xml:space="preserve"> про реєстрацію машини</w:t>
      </w:r>
      <w:r>
        <w:rPr>
          <w:rFonts w:ascii="Times New Roman" w:hAnsi="Times New Roman"/>
          <w:sz w:val="24"/>
          <w:szCs w:val="24"/>
        </w:rPr>
        <w:t xml:space="preserve"> та</w:t>
      </w:r>
      <w:r w:rsidRPr="007E584B">
        <w:rPr>
          <w:rFonts w:ascii="Times New Roman" w:hAnsi="Times New Roman"/>
          <w:sz w:val="24"/>
          <w:szCs w:val="24"/>
        </w:rPr>
        <w:t xml:space="preserve"> </w:t>
      </w:r>
      <w:r w:rsidRPr="00061CC6">
        <w:rPr>
          <w:rFonts w:ascii="Times New Roman" w:hAnsi="Times New Roman"/>
          <w:sz w:val="24"/>
          <w:szCs w:val="24"/>
        </w:rPr>
        <w:t>догов</w:t>
      </w:r>
      <w:r>
        <w:rPr>
          <w:rFonts w:ascii="Times New Roman" w:hAnsi="Times New Roman"/>
          <w:sz w:val="24"/>
          <w:szCs w:val="24"/>
        </w:rPr>
        <w:t>ору</w:t>
      </w:r>
      <w:r w:rsidRPr="00061CC6">
        <w:rPr>
          <w:rFonts w:ascii="Times New Roman" w:hAnsi="Times New Roman"/>
          <w:sz w:val="24"/>
          <w:szCs w:val="24"/>
        </w:rPr>
        <w:t>, передбачен</w:t>
      </w:r>
      <w:r>
        <w:rPr>
          <w:rFonts w:ascii="Times New Roman" w:hAnsi="Times New Roman"/>
          <w:sz w:val="24"/>
          <w:szCs w:val="24"/>
        </w:rPr>
        <w:t>ого</w:t>
      </w:r>
      <w:r w:rsidRPr="00061CC6">
        <w:rPr>
          <w:rFonts w:ascii="Times New Roman" w:hAnsi="Times New Roman"/>
          <w:sz w:val="24"/>
          <w:szCs w:val="24"/>
        </w:rPr>
        <w:t xml:space="preserve"> законодавством,</w:t>
      </w:r>
      <w:r>
        <w:rPr>
          <w:rFonts w:ascii="Times New Roman" w:hAnsi="Times New Roman"/>
          <w:sz w:val="24"/>
          <w:szCs w:val="24"/>
        </w:rPr>
        <w:t xml:space="preserve"> укладеного з </w:t>
      </w:r>
      <w:r w:rsidRPr="00061CC6">
        <w:rPr>
          <w:rFonts w:ascii="Times New Roman" w:hAnsi="Times New Roman"/>
          <w:sz w:val="24"/>
          <w:szCs w:val="24"/>
        </w:rPr>
        <w:t>власник</w:t>
      </w:r>
      <w:r>
        <w:rPr>
          <w:rFonts w:ascii="Times New Roman" w:hAnsi="Times New Roman"/>
          <w:sz w:val="24"/>
          <w:szCs w:val="24"/>
        </w:rPr>
        <w:t>ом</w:t>
      </w:r>
      <w:r w:rsidRPr="00061CC6">
        <w:rPr>
          <w:rFonts w:ascii="Times New Roman" w:hAnsi="Times New Roman"/>
          <w:sz w:val="24"/>
          <w:szCs w:val="24"/>
        </w:rPr>
        <w:t xml:space="preserve"> будівельних машин.</w:t>
      </w:r>
      <w:r>
        <w:rPr>
          <w:rFonts w:ascii="Times New Roman" w:hAnsi="Times New Roman"/>
          <w:sz w:val="24"/>
          <w:szCs w:val="24"/>
        </w:rPr>
        <w:t xml:space="preserve"> </w:t>
      </w:r>
    </w:p>
    <w:p w14:paraId="2EBC1FC6" w14:textId="77777777" w:rsidR="009C5A73" w:rsidRPr="00061CC6"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Документація та її додатки не містять вимог про зазначення найменування чи марки </w:t>
      </w:r>
      <w:r w:rsidRPr="007E584B">
        <w:rPr>
          <w:rFonts w:ascii="Times New Roman" w:hAnsi="Times New Roman"/>
          <w:sz w:val="24"/>
          <w:szCs w:val="24"/>
        </w:rPr>
        <w:t>машин і механізмів</w:t>
      </w:r>
      <w:r>
        <w:rPr>
          <w:rFonts w:ascii="Times New Roman" w:hAnsi="Times New Roman"/>
          <w:sz w:val="24"/>
          <w:szCs w:val="24"/>
        </w:rPr>
        <w:t xml:space="preserve"> у договорі, наданому </w:t>
      </w:r>
      <w:r w:rsidRPr="007E584B">
        <w:rPr>
          <w:rFonts w:ascii="Times New Roman" w:hAnsi="Times New Roman"/>
          <w:sz w:val="24"/>
          <w:szCs w:val="24"/>
        </w:rPr>
        <w:t>для підтвердження наявності будівельних машин і механізмів</w:t>
      </w:r>
      <w:r>
        <w:rPr>
          <w:rFonts w:ascii="Times New Roman" w:hAnsi="Times New Roman"/>
          <w:sz w:val="24"/>
          <w:szCs w:val="24"/>
        </w:rPr>
        <w:t xml:space="preserve">, чи вимог про те, що назва/марка </w:t>
      </w:r>
      <w:r w:rsidRPr="007E584B">
        <w:rPr>
          <w:rFonts w:ascii="Times New Roman" w:hAnsi="Times New Roman"/>
          <w:sz w:val="24"/>
          <w:szCs w:val="24"/>
        </w:rPr>
        <w:t>машин і механізмів</w:t>
      </w:r>
      <w:r>
        <w:rPr>
          <w:rFonts w:ascii="Times New Roman" w:hAnsi="Times New Roman"/>
          <w:sz w:val="24"/>
          <w:szCs w:val="24"/>
        </w:rPr>
        <w:t xml:space="preserve">, вказана у наданому договорі, має відповідати їх назві/марці, вказаній у наданих довідці </w:t>
      </w:r>
      <w:r w:rsidRPr="005D6289">
        <w:rPr>
          <w:rFonts w:ascii="Times New Roman" w:hAnsi="Times New Roman"/>
          <w:sz w:val="24"/>
          <w:szCs w:val="24"/>
        </w:rPr>
        <w:t>про наявність в учасника основного обладнання та устаткування матеріально-технічної бази та технологій</w:t>
      </w:r>
      <w:r>
        <w:rPr>
          <w:rFonts w:ascii="Times New Roman" w:hAnsi="Times New Roman"/>
          <w:sz w:val="24"/>
          <w:szCs w:val="24"/>
        </w:rPr>
        <w:t xml:space="preserve"> та </w:t>
      </w:r>
      <w:r w:rsidRPr="005D6289">
        <w:rPr>
          <w:rFonts w:ascii="Times New Roman" w:hAnsi="Times New Roman"/>
          <w:sz w:val="24"/>
          <w:szCs w:val="24"/>
        </w:rPr>
        <w:t>свідоцтв</w:t>
      </w:r>
      <w:r>
        <w:rPr>
          <w:rFonts w:ascii="Times New Roman" w:hAnsi="Times New Roman"/>
          <w:sz w:val="24"/>
          <w:szCs w:val="24"/>
        </w:rPr>
        <w:t>і</w:t>
      </w:r>
      <w:r w:rsidRPr="005D6289">
        <w:rPr>
          <w:rFonts w:ascii="Times New Roman" w:hAnsi="Times New Roman"/>
          <w:sz w:val="24"/>
          <w:szCs w:val="24"/>
        </w:rPr>
        <w:t xml:space="preserve"> про реєстрацію</w:t>
      </w:r>
      <w:r>
        <w:rPr>
          <w:rFonts w:ascii="Times New Roman" w:hAnsi="Times New Roman"/>
          <w:sz w:val="24"/>
          <w:szCs w:val="24"/>
        </w:rPr>
        <w:t>.</w:t>
      </w:r>
    </w:p>
    <w:p w14:paraId="021BCD6B" w14:textId="77777777" w:rsidR="009C5A73" w:rsidRPr="009A33EB"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Скаржник не стверджує та не довів, що е</w:t>
      </w:r>
      <w:r w:rsidRPr="004E79E2">
        <w:rPr>
          <w:rFonts w:ascii="Times New Roman" w:hAnsi="Times New Roman"/>
          <w:sz w:val="24"/>
          <w:szCs w:val="24"/>
        </w:rPr>
        <w:t xml:space="preserve">кскаватор </w:t>
      </w:r>
      <w:r w:rsidRPr="004E79E2">
        <w:rPr>
          <w:rFonts w:ascii="Times New Roman" w:hAnsi="Times New Roman"/>
          <w:sz w:val="24"/>
          <w:szCs w:val="24"/>
          <w:lang w:val="de-DE"/>
        </w:rPr>
        <w:t>JCB</w:t>
      </w:r>
      <w:r w:rsidRPr="004E79E2">
        <w:rPr>
          <w:rFonts w:ascii="Times New Roman" w:hAnsi="Times New Roman"/>
          <w:sz w:val="24"/>
          <w:szCs w:val="24"/>
        </w:rPr>
        <w:t xml:space="preserve"> 3</w:t>
      </w:r>
      <w:r w:rsidRPr="004E79E2">
        <w:rPr>
          <w:rFonts w:ascii="Times New Roman" w:hAnsi="Times New Roman"/>
          <w:sz w:val="24"/>
          <w:szCs w:val="24"/>
          <w:lang w:val="de-DE"/>
        </w:rPr>
        <w:t>CX</w:t>
      </w:r>
      <w:r>
        <w:rPr>
          <w:rFonts w:ascii="Times New Roman" w:hAnsi="Times New Roman"/>
          <w:sz w:val="24"/>
          <w:szCs w:val="24"/>
        </w:rPr>
        <w:t xml:space="preserve"> не є е</w:t>
      </w:r>
      <w:r w:rsidRPr="004E79E2">
        <w:rPr>
          <w:rFonts w:ascii="Times New Roman" w:hAnsi="Times New Roman"/>
          <w:sz w:val="24"/>
          <w:szCs w:val="24"/>
        </w:rPr>
        <w:t>кскаватор</w:t>
      </w:r>
      <w:r>
        <w:rPr>
          <w:rFonts w:ascii="Times New Roman" w:hAnsi="Times New Roman"/>
          <w:sz w:val="24"/>
          <w:szCs w:val="24"/>
        </w:rPr>
        <w:t>ом</w:t>
      </w:r>
      <w:r w:rsidRPr="004E79E2">
        <w:rPr>
          <w:rFonts w:ascii="Times New Roman" w:hAnsi="Times New Roman"/>
          <w:sz w:val="24"/>
          <w:szCs w:val="24"/>
        </w:rPr>
        <w:t>-</w:t>
      </w:r>
      <w:proofErr w:type="spellStart"/>
      <w:r w:rsidRPr="004E79E2">
        <w:rPr>
          <w:rFonts w:ascii="Times New Roman" w:hAnsi="Times New Roman"/>
          <w:sz w:val="24"/>
          <w:szCs w:val="24"/>
        </w:rPr>
        <w:t>навантажувач</w:t>
      </w:r>
      <w:r>
        <w:rPr>
          <w:rFonts w:ascii="Times New Roman" w:hAnsi="Times New Roman"/>
          <w:sz w:val="24"/>
          <w:szCs w:val="24"/>
        </w:rPr>
        <w:t>ем</w:t>
      </w:r>
      <w:proofErr w:type="spellEnd"/>
      <w:r w:rsidRPr="004E79E2">
        <w:rPr>
          <w:rFonts w:ascii="Times New Roman" w:hAnsi="Times New Roman"/>
          <w:sz w:val="24"/>
          <w:szCs w:val="24"/>
        </w:rPr>
        <w:t xml:space="preserve"> JCB 3CX SITEMASTER</w:t>
      </w:r>
      <w:r>
        <w:rPr>
          <w:rFonts w:ascii="Times New Roman" w:hAnsi="Times New Roman"/>
          <w:sz w:val="24"/>
          <w:szCs w:val="24"/>
        </w:rPr>
        <w:t>.</w:t>
      </w:r>
    </w:p>
    <w:p w14:paraId="7FA43737" w14:textId="77777777" w:rsidR="009C5A73" w:rsidRPr="00061CC6" w:rsidRDefault="009C5A73" w:rsidP="009C5A73">
      <w:pPr>
        <w:spacing w:after="0" w:line="240" w:lineRule="auto"/>
        <w:ind w:right="-1"/>
        <w:jc w:val="both"/>
        <w:rPr>
          <w:rFonts w:ascii="Times New Roman" w:hAnsi="Times New Roman"/>
          <w:b/>
          <w:i/>
          <w:sz w:val="24"/>
          <w:szCs w:val="24"/>
        </w:rPr>
      </w:pPr>
    </w:p>
    <w:p w14:paraId="59E745C6" w14:textId="77777777" w:rsidR="009C5A73" w:rsidRPr="00061CC6" w:rsidRDefault="009C5A73" w:rsidP="009C5A73">
      <w:pPr>
        <w:spacing w:after="0" w:line="240" w:lineRule="auto"/>
        <w:ind w:right="-1"/>
        <w:jc w:val="both"/>
        <w:rPr>
          <w:rFonts w:ascii="Times New Roman" w:hAnsi="Times New Roman"/>
          <w:b/>
          <w:i/>
          <w:sz w:val="24"/>
          <w:szCs w:val="24"/>
        </w:rPr>
      </w:pPr>
      <w:r w:rsidRPr="00061CC6">
        <w:rPr>
          <w:rFonts w:ascii="Times New Roman" w:hAnsi="Times New Roman"/>
          <w:b/>
          <w:i/>
          <w:sz w:val="24"/>
          <w:szCs w:val="24"/>
        </w:rPr>
        <w:t>2. Щодо медичних книжок</w:t>
      </w:r>
    </w:p>
    <w:p w14:paraId="186C9306" w14:textId="77777777" w:rsidR="009C5A73" w:rsidRPr="00061CC6" w:rsidRDefault="009C5A73" w:rsidP="009C5A73">
      <w:pPr>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 xml:space="preserve">Відповідно до вимог пункту 2.3 частини 1.2 додатку 1 до тендерної документації  </w:t>
      </w:r>
      <w:r w:rsidRPr="00AB2637">
        <w:rPr>
          <w:rFonts w:ascii="Times New Roman" w:hAnsi="Times New Roman"/>
          <w:i/>
          <w:iCs/>
          <w:sz w:val="24"/>
          <w:szCs w:val="24"/>
        </w:rPr>
        <w:t>на працівників які будуть задіяні на об’єкті безпосередньо, а саме: головного інженера, інженера з охорони прац</w:t>
      </w:r>
      <w:r>
        <w:rPr>
          <w:rFonts w:ascii="Times New Roman" w:hAnsi="Times New Roman"/>
          <w:i/>
          <w:iCs/>
          <w:sz w:val="24"/>
          <w:szCs w:val="24"/>
        </w:rPr>
        <w:t xml:space="preserve">і </w:t>
      </w:r>
      <w:r w:rsidRPr="00AB2637">
        <w:rPr>
          <w:rFonts w:ascii="Times New Roman" w:hAnsi="Times New Roman"/>
          <w:i/>
          <w:iCs/>
          <w:sz w:val="24"/>
          <w:szCs w:val="24"/>
        </w:rPr>
        <w:t xml:space="preserve">виконавця робіт та всіх працівників робочих професій які зазначені в довідці згідно п.2.1. надаються </w:t>
      </w:r>
      <w:r w:rsidRPr="00AB2637">
        <w:rPr>
          <w:rFonts w:ascii="Times New Roman" w:hAnsi="Times New Roman"/>
          <w:b/>
          <w:bCs/>
          <w:i/>
          <w:iCs/>
          <w:sz w:val="24"/>
          <w:szCs w:val="24"/>
        </w:rPr>
        <w:t>Чинні медичні книжки за формою № 1-ОМК «Особиста медична книжка», затвердженою  наказом Міністерства охорони здоров’я України від 21.02.2013 № 150, з відмітками про проходження ними профілактичного медичного огляду</w:t>
      </w:r>
      <w:r w:rsidRPr="00AB2637">
        <w:rPr>
          <w:rFonts w:ascii="Times New Roman" w:hAnsi="Times New Roman"/>
          <w:i/>
          <w:iCs/>
          <w:sz w:val="24"/>
          <w:szCs w:val="24"/>
        </w:rPr>
        <w:t xml:space="preserve"> та/або висновок медичної комісії відповідно до Наказу Міністерства охорони здоров’я України від 21.05.2007 №246 «Про затвердження Порядку проведення медичних оглядів працівників певних категорій»</w:t>
      </w:r>
      <w:r w:rsidRPr="00061CC6">
        <w:rPr>
          <w:rFonts w:ascii="Times New Roman" w:hAnsi="Times New Roman"/>
          <w:sz w:val="24"/>
          <w:szCs w:val="24"/>
        </w:rPr>
        <w:t>..</w:t>
      </w:r>
    </w:p>
    <w:p w14:paraId="18511BB5" w14:textId="77777777" w:rsidR="009C5A73" w:rsidRDefault="009C5A73" w:rsidP="009C5A73">
      <w:pPr>
        <w:spacing w:after="0" w:line="240" w:lineRule="auto"/>
        <w:ind w:right="-1" w:firstLine="708"/>
        <w:jc w:val="both"/>
        <w:rPr>
          <w:rFonts w:ascii="Times New Roman" w:hAnsi="Times New Roman"/>
          <w:sz w:val="24"/>
          <w:szCs w:val="24"/>
        </w:rPr>
      </w:pPr>
    </w:p>
    <w:p w14:paraId="7AA0B003" w14:textId="77777777" w:rsidR="009C5A73" w:rsidRPr="00061CC6" w:rsidRDefault="009C5A73" w:rsidP="009C5A73">
      <w:pPr>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На виконання зазначеної вимоги Переможем закупівлі надано медичні книжки за формою № 1-ОМК</w:t>
      </w:r>
      <w:r>
        <w:rPr>
          <w:rFonts w:ascii="Times New Roman" w:hAnsi="Times New Roman"/>
          <w:sz w:val="24"/>
          <w:szCs w:val="24"/>
        </w:rPr>
        <w:t xml:space="preserve"> </w:t>
      </w:r>
      <w:r w:rsidRPr="00AB2637">
        <w:rPr>
          <w:rFonts w:ascii="Times New Roman" w:hAnsi="Times New Roman"/>
          <w:sz w:val="24"/>
          <w:szCs w:val="24"/>
        </w:rPr>
        <w:t>«Особиста медична книжка», затвердженою  наказом Міністерства охорони здоров’я України від 21.02.2013 № 150, з відмітками про проходження профілактичного медичного огляду</w:t>
      </w:r>
      <w:r>
        <w:rPr>
          <w:rFonts w:ascii="Times New Roman" w:hAnsi="Times New Roman"/>
          <w:sz w:val="24"/>
          <w:szCs w:val="24"/>
        </w:rPr>
        <w:t>:</w:t>
      </w:r>
      <w:r w:rsidRPr="00061CC6">
        <w:rPr>
          <w:rFonts w:ascii="Times New Roman" w:hAnsi="Times New Roman"/>
          <w:sz w:val="24"/>
          <w:szCs w:val="24"/>
        </w:rPr>
        <w:t xml:space="preserve"> серії 10ЯЯШ№ 083909, серії 10ЯЯШ№ 083908, серії 10ЯЯШ№ 083906, серії 10ЯЯШ№ 083907, серії 10ЯЯШ№ 083905, серії 10ЯЯШ№ 083911, серії 10ЯЯШ№ 083912, серії 10ЯЯШ№ 083913, серії 10ЯЯШ№ 083914, серії 10ЯЯШ№ 083915, серії 10ЯЯШ№ 083910</w:t>
      </w:r>
      <w:r>
        <w:rPr>
          <w:rFonts w:ascii="Times New Roman" w:hAnsi="Times New Roman"/>
          <w:sz w:val="24"/>
          <w:szCs w:val="24"/>
        </w:rPr>
        <w:t xml:space="preserve"> (файл </w:t>
      </w:r>
      <w:r w:rsidRPr="002D1F9D">
        <w:rPr>
          <w:rFonts w:ascii="Times New Roman" w:hAnsi="Times New Roman"/>
          <w:sz w:val="24"/>
          <w:szCs w:val="24"/>
        </w:rPr>
        <w:t>6.2.4 Медичні книжки працівників.pdf</w:t>
      </w:r>
      <w:r>
        <w:rPr>
          <w:rFonts w:ascii="Times New Roman" w:hAnsi="Times New Roman"/>
          <w:sz w:val="24"/>
          <w:szCs w:val="24"/>
        </w:rPr>
        <w:t>)</w:t>
      </w:r>
      <w:r w:rsidRPr="00061CC6">
        <w:rPr>
          <w:rFonts w:ascii="Times New Roman" w:hAnsi="Times New Roman"/>
          <w:sz w:val="24"/>
          <w:szCs w:val="24"/>
        </w:rPr>
        <w:t>.</w:t>
      </w:r>
    </w:p>
    <w:p w14:paraId="018D6B50" w14:textId="77777777" w:rsidR="009C5A73" w:rsidRPr="0003447D"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Документація не містить вимог про те, що </w:t>
      </w:r>
      <w:r w:rsidRPr="00061CC6">
        <w:rPr>
          <w:rFonts w:ascii="Times New Roman" w:hAnsi="Times New Roman"/>
          <w:sz w:val="24"/>
          <w:szCs w:val="24"/>
        </w:rPr>
        <w:t>медичні книжки за формою № 1-ОМК</w:t>
      </w:r>
      <w:r>
        <w:rPr>
          <w:rFonts w:ascii="Times New Roman" w:hAnsi="Times New Roman"/>
          <w:sz w:val="24"/>
          <w:szCs w:val="24"/>
        </w:rPr>
        <w:t xml:space="preserve"> повинні бути заповнені згідно І</w:t>
      </w:r>
      <w:r w:rsidRPr="0003447D">
        <w:rPr>
          <w:rFonts w:ascii="Times New Roman" w:hAnsi="Times New Roman"/>
          <w:sz w:val="24"/>
          <w:szCs w:val="24"/>
        </w:rPr>
        <w:t>нструкці</w:t>
      </w:r>
      <w:r>
        <w:rPr>
          <w:rFonts w:ascii="Times New Roman" w:hAnsi="Times New Roman"/>
          <w:sz w:val="24"/>
          <w:szCs w:val="24"/>
        </w:rPr>
        <w:t>ї</w:t>
      </w:r>
      <w:r w:rsidRPr="0003447D">
        <w:rPr>
          <w:rFonts w:ascii="Times New Roman" w:hAnsi="Times New Roman"/>
          <w:sz w:val="24"/>
          <w:szCs w:val="24"/>
        </w:rPr>
        <w:t xml:space="preserve"> щодо заповнення форми первинної облікової документації № 1-ОМК «Особиста медична книжка»</w:t>
      </w:r>
      <w:r w:rsidRPr="00AB2637">
        <w:rPr>
          <w:rFonts w:ascii="Times New Roman" w:hAnsi="Times New Roman"/>
          <w:sz w:val="24"/>
          <w:szCs w:val="24"/>
        </w:rPr>
        <w:t>, затверджено</w:t>
      </w:r>
      <w:r>
        <w:rPr>
          <w:rFonts w:ascii="Times New Roman" w:hAnsi="Times New Roman"/>
          <w:sz w:val="24"/>
          <w:szCs w:val="24"/>
        </w:rPr>
        <w:t>ї</w:t>
      </w:r>
      <w:r w:rsidRPr="00AB2637">
        <w:rPr>
          <w:rFonts w:ascii="Times New Roman" w:hAnsi="Times New Roman"/>
          <w:sz w:val="24"/>
          <w:szCs w:val="24"/>
        </w:rPr>
        <w:t xml:space="preserve"> наказом Міністерства охорони здоров’я України від 21.02.2013 № 150</w:t>
      </w:r>
      <w:r>
        <w:rPr>
          <w:rFonts w:ascii="Times New Roman" w:hAnsi="Times New Roman"/>
          <w:sz w:val="24"/>
          <w:szCs w:val="24"/>
        </w:rPr>
        <w:t>.</w:t>
      </w:r>
    </w:p>
    <w:p w14:paraId="295A983B"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У</w:t>
      </w:r>
      <w:r w:rsidRPr="00061CC6">
        <w:rPr>
          <w:rFonts w:ascii="Times New Roman" w:hAnsi="Times New Roman"/>
          <w:sz w:val="24"/>
          <w:szCs w:val="24"/>
        </w:rPr>
        <w:t xml:space="preserve"> п</w:t>
      </w:r>
      <w:r>
        <w:rPr>
          <w:rFonts w:ascii="Times New Roman" w:hAnsi="Times New Roman"/>
          <w:sz w:val="24"/>
          <w:szCs w:val="24"/>
        </w:rPr>
        <w:t>.</w:t>
      </w:r>
      <w:r w:rsidRPr="00061CC6">
        <w:rPr>
          <w:rFonts w:ascii="Times New Roman" w:hAnsi="Times New Roman"/>
          <w:sz w:val="24"/>
          <w:szCs w:val="24"/>
        </w:rPr>
        <w:t xml:space="preserve"> 2 </w:t>
      </w:r>
      <w:r>
        <w:rPr>
          <w:rFonts w:ascii="Times New Roman" w:hAnsi="Times New Roman"/>
          <w:sz w:val="24"/>
          <w:szCs w:val="24"/>
        </w:rPr>
        <w:t xml:space="preserve">наданих Переможцем </w:t>
      </w:r>
      <w:r w:rsidRPr="00061CC6">
        <w:rPr>
          <w:rFonts w:ascii="Times New Roman" w:hAnsi="Times New Roman"/>
          <w:sz w:val="24"/>
          <w:szCs w:val="24"/>
        </w:rPr>
        <w:t>медичн</w:t>
      </w:r>
      <w:r>
        <w:rPr>
          <w:rFonts w:ascii="Times New Roman" w:hAnsi="Times New Roman"/>
          <w:sz w:val="24"/>
          <w:szCs w:val="24"/>
        </w:rPr>
        <w:t>их</w:t>
      </w:r>
      <w:r w:rsidRPr="00061CC6">
        <w:rPr>
          <w:rFonts w:ascii="Times New Roman" w:hAnsi="Times New Roman"/>
          <w:sz w:val="24"/>
          <w:szCs w:val="24"/>
        </w:rPr>
        <w:t xml:space="preserve"> книж</w:t>
      </w:r>
      <w:r>
        <w:rPr>
          <w:rFonts w:ascii="Times New Roman" w:hAnsi="Times New Roman"/>
          <w:sz w:val="24"/>
          <w:szCs w:val="24"/>
        </w:rPr>
        <w:t>ок</w:t>
      </w:r>
      <w:r w:rsidRPr="00061CC6">
        <w:rPr>
          <w:rFonts w:ascii="Times New Roman" w:hAnsi="Times New Roman"/>
          <w:sz w:val="24"/>
          <w:szCs w:val="24"/>
        </w:rPr>
        <w:t xml:space="preserve"> за формою № 1-ОМК</w:t>
      </w:r>
      <w:r>
        <w:rPr>
          <w:rFonts w:ascii="Times New Roman" w:hAnsi="Times New Roman"/>
          <w:sz w:val="24"/>
          <w:szCs w:val="24"/>
        </w:rPr>
        <w:t xml:space="preserve"> вписано </w:t>
      </w:r>
      <w:r w:rsidRPr="007A72CD">
        <w:rPr>
          <w:rFonts w:ascii="Times New Roman" w:hAnsi="Times New Roman"/>
          <w:bCs/>
          <w:sz w:val="24"/>
          <w:szCs w:val="24"/>
        </w:rPr>
        <w:t>назв</w:t>
      </w:r>
      <w:r>
        <w:rPr>
          <w:rFonts w:ascii="Times New Roman" w:hAnsi="Times New Roman"/>
          <w:bCs/>
          <w:sz w:val="24"/>
          <w:szCs w:val="24"/>
        </w:rPr>
        <w:t>у</w:t>
      </w:r>
      <w:r w:rsidRPr="007A72CD">
        <w:rPr>
          <w:rFonts w:ascii="Times New Roman" w:hAnsi="Times New Roman"/>
          <w:bCs/>
          <w:sz w:val="24"/>
          <w:szCs w:val="24"/>
        </w:rPr>
        <w:t xml:space="preserve"> професії та характер виконуваних робіт </w:t>
      </w:r>
      <w:r w:rsidRPr="00061CC6">
        <w:rPr>
          <w:rFonts w:ascii="Times New Roman" w:hAnsi="Times New Roman"/>
          <w:sz w:val="24"/>
          <w:szCs w:val="24"/>
        </w:rPr>
        <w:t>відповідно до постанови Кабінету Міністрів України від 23 травня 2001 року № 559 «Про затвердження переліку професій, виробництв та організацій, працівники яких підлягають обов'язковим профілактичним медичним оглядам, порядку проведення цих оглядів та видачі особистих медичних книжок»</w:t>
      </w:r>
      <w:r>
        <w:rPr>
          <w:rFonts w:ascii="Times New Roman" w:hAnsi="Times New Roman"/>
          <w:sz w:val="24"/>
          <w:szCs w:val="24"/>
        </w:rPr>
        <w:t xml:space="preserve"> (п. </w:t>
      </w:r>
      <w:r w:rsidRPr="00061CC6">
        <w:rPr>
          <w:rFonts w:ascii="Times New Roman" w:hAnsi="Times New Roman"/>
          <w:sz w:val="24"/>
          <w:szCs w:val="24"/>
        </w:rPr>
        <w:t>4.2 зазначеної інструкції</w:t>
      </w:r>
      <w:r>
        <w:rPr>
          <w:rFonts w:ascii="Times New Roman" w:hAnsi="Times New Roman"/>
          <w:sz w:val="24"/>
          <w:szCs w:val="24"/>
        </w:rPr>
        <w:t>).</w:t>
      </w:r>
    </w:p>
    <w:p w14:paraId="138EE3CF" w14:textId="77777777" w:rsidR="009C5A73" w:rsidRPr="007A72CD"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Надані Переможцем </w:t>
      </w:r>
      <w:r w:rsidRPr="00061CC6">
        <w:rPr>
          <w:rFonts w:ascii="Times New Roman" w:hAnsi="Times New Roman"/>
          <w:sz w:val="24"/>
          <w:szCs w:val="24"/>
        </w:rPr>
        <w:t>медичн</w:t>
      </w:r>
      <w:r>
        <w:rPr>
          <w:rFonts w:ascii="Times New Roman" w:hAnsi="Times New Roman"/>
          <w:sz w:val="24"/>
          <w:szCs w:val="24"/>
        </w:rPr>
        <w:t>і</w:t>
      </w:r>
      <w:r w:rsidRPr="00061CC6">
        <w:rPr>
          <w:rFonts w:ascii="Times New Roman" w:hAnsi="Times New Roman"/>
          <w:sz w:val="24"/>
          <w:szCs w:val="24"/>
        </w:rPr>
        <w:t xml:space="preserve"> книж</w:t>
      </w:r>
      <w:r>
        <w:rPr>
          <w:rFonts w:ascii="Times New Roman" w:hAnsi="Times New Roman"/>
          <w:sz w:val="24"/>
          <w:szCs w:val="24"/>
        </w:rPr>
        <w:t>ки</w:t>
      </w:r>
      <w:r w:rsidRPr="00061CC6">
        <w:rPr>
          <w:rFonts w:ascii="Times New Roman" w:hAnsi="Times New Roman"/>
          <w:sz w:val="24"/>
          <w:szCs w:val="24"/>
        </w:rPr>
        <w:t xml:space="preserve"> за формою № 1-ОМК</w:t>
      </w:r>
      <w:r>
        <w:rPr>
          <w:rFonts w:ascii="Times New Roman" w:hAnsi="Times New Roman"/>
          <w:sz w:val="24"/>
          <w:szCs w:val="24"/>
        </w:rPr>
        <w:t xml:space="preserve"> (п. </w:t>
      </w:r>
      <w:r w:rsidRPr="00061CC6">
        <w:rPr>
          <w:rFonts w:ascii="Times New Roman" w:hAnsi="Times New Roman"/>
          <w:sz w:val="24"/>
          <w:szCs w:val="24"/>
        </w:rPr>
        <w:t>4.6 зазначеної інструкції</w:t>
      </w:r>
      <w:r>
        <w:rPr>
          <w:rFonts w:ascii="Times New Roman" w:hAnsi="Times New Roman"/>
          <w:sz w:val="24"/>
          <w:szCs w:val="24"/>
        </w:rPr>
        <w:t xml:space="preserve">) </w:t>
      </w:r>
      <w:r w:rsidRPr="007A72CD">
        <w:rPr>
          <w:rFonts w:ascii="Times New Roman" w:hAnsi="Times New Roman"/>
          <w:bCs/>
          <w:sz w:val="24"/>
          <w:szCs w:val="24"/>
        </w:rPr>
        <w:t>підпис</w:t>
      </w:r>
      <w:r>
        <w:rPr>
          <w:rFonts w:ascii="Times New Roman" w:hAnsi="Times New Roman"/>
          <w:bCs/>
          <w:sz w:val="24"/>
          <w:szCs w:val="24"/>
        </w:rPr>
        <w:t>ані</w:t>
      </w:r>
      <w:r w:rsidRPr="007A72CD">
        <w:rPr>
          <w:rFonts w:ascii="Times New Roman" w:hAnsi="Times New Roman"/>
          <w:bCs/>
          <w:sz w:val="24"/>
          <w:szCs w:val="24"/>
        </w:rPr>
        <w:t xml:space="preserve"> керівником та засвідч</w:t>
      </w:r>
      <w:r>
        <w:rPr>
          <w:rFonts w:ascii="Times New Roman" w:hAnsi="Times New Roman"/>
          <w:bCs/>
          <w:sz w:val="24"/>
          <w:szCs w:val="24"/>
        </w:rPr>
        <w:t>ені</w:t>
      </w:r>
      <w:r w:rsidRPr="007A72CD">
        <w:rPr>
          <w:rFonts w:ascii="Times New Roman" w:hAnsi="Times New Roman"/>
          <w:bCs/>
          <w:sz w:val="24"/>
          <w:szCs w:val="24"/>
        </w:rPr>
        <w:t xml:space="preserve"> печаткою закладу охорони здоров’я</w:t>
      </w:r>
      <w:r>
        <w:rPr>
          <w:rFonts w:ascii="Times New Roman" w:hAnsi="Times New Roman"/>
          <w:bCs/>
          <w:sz w:val="24"/>
          <w:szCs w:val="24"/>
        </w:rPr>
        <w:t xml:space="preserve"> ТОВ</w:t>
      </w:r>
      <w:r w:rsidRPr="004E4CA5">
        <w:rPr>
          <w:rFonts w:ascii="Times New Roman" w:hAnsi="Times New Roman"/>
          <w:bCs/>
          <w:sz w:val="24"/>
          <w:szCs w:val="24"/>
        </w:rPr>
        <w:t xml:space="preserve"> «МЕДПРОФ»</w:t>
      </w:r>
      <w:r>
        <w:rPr>
          <w:rFonts w:ascii="Times New Roman" w:hAnsi="Times New Roman"/>
          <w:bCs/>
          <w:sz w:val="24"/>
          <w:szCs w:val="24"/>
        </w:rPr>
        <w:t>.</w:t>
      </w:r>
    </w:p>
    <w:p w14:paraId="6BC6290B" w14:textId="77777777" w:rsidR="009C5A73" w:rsidRPr="00061CC6" w:rsidRDefault="009C5A73" w:rsidP="009C5A73">
      <w:pPr>
        <w:spacing w:after="0" w:line="240" w:lineRule="auto"/>
        <w:ind w:right="-1" w:firstLine="708"/>
        <w:jc w:val="both"/>
        <w:rPr>
          <w:rFonts w:ascii="Times New Roman" w:hAnsi="Times New Roman"/>
          <w:sz w:val="24"/>
          <w:szCs w:val="24"/>
        </w:rPr>
      </w:pPr>
      <w:r w:rsidRPr="004E4CA5">
        <w:rPr>
          <w:rFonts w:ascii="Times New Roman" w:hAnsi="Times New Roman"/>
          <w:sz w:val="24"/>
          <w:szCs w:val="24"/>
        </w:rPr>
        <w:lastRenderedPageBreak/>
        <w:t>Почеркознавч</w:t>
      </w:r>
      <w:r>
        <w:rPr>
          <w:rFonts w:ascii="Times New Roman" w:hAnsi="Times New Roman"/>
          <w:sz w:val="24"/>
          <w:szCs w:val="24"/>
        </w:rPr>
        <w:t>а</w:t>
      </w:r>
      <w:r w:rsidRPr="004E4CA5">
        <w:rPr>
          <w:rFonts w:ascii="Times New Roman" w:hAnsi="Times New Roman"/>
          <w:sz w:val="24"/>
          <w:szCs w:val="24"/>
        </w:rPr>
        <w:t xml:space="preserve"> експертиза </w:t>
      </w:r>
      <w:r>
        <w:rPr>
          <w:rFonts w:ascii="Times New Roman" w:hAnsi="Times New Roman"/>
          <w:sz w:val="24"/>
          <w:szCs w:val="24"/>
        </w:rPr>
        <w:t>–</w:t>
      </w:r>
      <w:r w:rsidRPr="002D1F9D">
        <w:t xml:space="preserve"> </w:t>
      </w:r>
      <w:r w:rsidRPr="002D1F9D">
        <w:rPr>
          <w:rFonts w:ascii="Times New Roman" w:hAnsi="Times New Roman"/>
          <w:sz w:val="24"/>
          <w:szCs w:val="24"/>
        </w:rPr>
        <w:t>комплекс заходів, що спрямовані на встановлення приналежності підпису конкретній людині</w:t>
      </w:r>
      <w:r w:rsidRPr="004E4CA5">
        <w:rPr>
          <w:rFonts w:ascii="Times New Roman" w:hAnsi="Times New Roman"/>
          <w:sz w:val="24"/>
          <w:szCs w:val="24"/>
        </w:rPr>
        <w:t>.</w:t>
      </w:r>
      <w:r>
        <w:rPr>
          <w:rFonts w:ascii="Times New Roman" w:hAnsi="Times New Roman"/>
          <w:sz w:val="24"/>
          <w:szCs w:val="24"/>
        </w:rPr>
        <w:t xml:space="preserve"> Скаржник не є експертом, компетентним на здійснення п</w:t>
      </w:r>
      <w:r w:rsidRPr="004E4CA5">
        <w:rPr>
          <w:rFonts w:ascii="Times New Roman" w:hAnsi="Times New Roman"/>
          <w:sz w:val="24"/>
          <w:szCs w:val="24"/>
        </w:rPr>
        <w:t>очеркознавч</w:t>
      </w:r>
      <w:r>
        <w:rPr>
          <w:rFonts w:ascii="Times New Roman" w:hAnsi="Times New Roman"/>
          <w:sz w:val="24"/>
          <w:szCs w:val="24"/>
        </w:rPr>
        <w:t>ої</w:t>
      </w:r>
      <w:r w:rsidRPr="004E4CA5">
        <w:rPr>
          <w:rFonts w:ascii="Times New Roman" w:hAnsi="Times New Roman"/>
          <w:sz w:val="24"/>
          <w:szCs w:val="24"/>
        </w:rPr>
        <w:t xml:space="preserve"> експертиз</w:t>
      </w:r>
      <w:r>
        <w:rPr>
          <w:rFonts w:ascii="Times New Roman" w:hAnsi="Times New Roman"/>
          <w:sz w:val="24"/>
          <w:szCs w:val="24"/>
        </w:rPr>
        <w:t xml:space="preserve">и і встановлення приналежності підпису особі. Також Скаржником не надано висновок компетентного на проведення почеркознавчої експертизи експерта, який би підтвердив </w:t>
      </w:r>
      <w:r w:rsidRPr="00061CC6">
        <w:rPr>
          <w:rFonts w:ascii="Times New Roman" w:hAnsi="Times New Roman"/>
          <w:sz w:val="24"/>
          <w:szCs w:val="24"/>
        </w:rPr>
        <w:t>підписан</w:t>
      </w:r>
      <w:r>
        <w:rPr>
          <w:rFonts w:ascii="Times New Roman" w:hAnsi="Times New Roman"/>
          <w:sz w:val="24"/>
          <w:szCs w:val="24"/>
        </w:rPr>
        <w:t>ня</w:t>
      </w:r>
      <w:r w:rsidRPr="00061CC6">
        <w:rPr>
          <w:rFonts w:ascii="Times New Roman" w:hAnsi="Times New Roman"/>
          <w:sz w:val="24"/>
          <w:szCs w:val="24"/>
        </w:rPr>
        <w:t xml:space="preserve"> медичн</w:t>
      </w:r>
      <w:r>
        <w:rPr>
          <w:rFonts w:ascii="Times New Roman" w:hAnsi="Times New Roman"/>
          <w:sz w:val="24"/>
          <w:szCs w:val="24"/>
        </w:rPr>
        <w:t>их</w:t>
      </w:r>
      <w:r w:rsidRPr="00061CC6">
        <w:rPr>
          <w:rFonts w:ascii="Times New Roman" w:hAnsi="Times New Roman"/>
          <w:sz w:val="24"/>
          <w:szCs w:val="24"/>
        </w:rPr>
        <w:t xml:space="preserve"> книж</w:t>
      </w:r>
      <w:r>
        <w:rPr>
          <w:rFonts w:ascii="Times New Roman" w:hAnsi="Times New Roman"/>
          <w:sz w:val="24"/>
          <w:szCs w:val="24"/>
        </w:rPr>
        <w:t>ок</w:t>
      </w:r>
      <w:r w:rsidRPr="00061CC6">
        <w:rPr>
          <w:rFonts w:ascii="Times New Roman" w:hAnsi="Times New Roman"/>
          <w:sz w:val="24"/>
          <w:szCs w:val="24"/>
        </w:rPr>
        <w:t xml:space="preserve"> не керівником закладу охорони здоров’я. </w:t>
      </w:r>
    </w:p>
    <w:p w14:paraId="2C216CF7" w14:textId="77777777" w:rsidR="009C5A73" w:rsidRPr="00061CC6" w:rsidRDefault="009C5A73" w:rsidP="009C5A73">
      <w:pPr>
        <w:spacing w:after="0" w:line="240" w:lineRule="auto"/>
        <w:ind w:right="-1" w:firstLine="708"/>
        <w:jc w:val="both"/>
        <w:rPr>
          <w:rFonts w:ascii="Times New Roman" w:hAnsi="Times New Roman"/>
          <w:sz w:val="24"/>
          <w:szCs w:val="24"/>
        </w:rPr>
      </w:pPr>
    </w:p>
    <w:p w14:paraId="195E196C" w14:textId="77777777" w:rsidR="009C5A73" w:rsidRPr="005D6289" w:rsidRDefault="009C5A73" w:rsidP="009C5A73">
      <w:pPr>
        <w:spacing w:after="0" w:line="240" w:lineRule="auto"/>
        <w:ind w:right="-1"/>
        <w:jc w:val="both"/>
        <w:rPr>
          <w:rFonts w:ascii="Times New Roman" w:hAnsi="Times New Roman"/>
          <w:b/>
          <w:i/>
          <w:sz w:val="24"/>
          <w:szCs w:val="24"/>
        </w:rPr>
      </w:pPr>
      <w:r w:rsidRPr="00061CC6">
        <w:rPr>
          <w:rFonts w:ascii="Times New Roman" w:hAnsi="Times New Roman"/>
          <w:b/>
          <w:i/>
          <w:sz w:val="24"/>
          <w:szCs w:val="24"/>
        </w:rPr>
        <w:t xml:space="preserve">3. Щодо заготівельно-складських витрат </w:t>
      </w:r>
    </w:p>
    <w:p w14:paraId="4A0207F8" w14:textId="77777777" w:rsidR="009C5A73" w:rsidRPr="005D6289" w:rsidRDefault="009C5A73" w:rsidP="009C5A73">
      <w:pPr>
        <w:spacing w:after="0" w:line="240" w:lineRule="auto"/>
        <w:ind w:right="-1" w:firstLine="708"/>
        <w:jc w:val="both"/>
        <w:rPr>
          <w:rFonts w:ascii="Times New Roman" w:hAnsi="Times New Roman"/>
          <w:i/>
          <w:iCs/>
          <w:sz w:val="24"/>
          <w:szCs w:val="24"/>
        </w:rPr>
      </w:pPr>
      <w:r w:rsidRPr="00061CC6">
        <w:rPr>
          <w:rFonts w:ascii="Times New Roman" w:hAnsi="Times New Roman"/>
          <w:sz w:val="24"/>
          <w:szCs w:val="24"/>
        </w:rPr>
        <w:t xml:space="preserve">Відповідно до вимог пункту 3 частини 1.1 додатку 1 до тендерної документації </w:t>
      </w:r>
      <w:r w:rsidRPr="005D6289">
        <w:rPr>
          <w:rFonts w:ascii="Times New Roman" w:hAnsi="Times New Roman"/>
          <w:i/>
          <w:iCs/>
          <w:sz w:val="24"/>
          <w:szCs w:val="24"/>
        </w:rPr>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14:paraId="4AF896BA" w14:textId="77777777" w:rsidR="009C5A73" w:rsidRPr="005D6289" w:rsidRDefault="009C5A73" w:rsidP="009C5A73">
      <w:pPr>
        <w:spacing w:after="0" w:line="240" w:lineRule="auto"/>
        <w:ind w:right="-1" w:firstLine="708"/>
        <w:jc w:val="both"/>
        <w:rPr>
          <w:rFonts w:ascii="Times New Roman" w:hAnsi="Times New Roman"/>
          <w:i/>
          <w:iCs/>
          <w:sz w:val="24"/>
          <w:szCs w:val="24"/>
        </w:rPr>
      </w:pPr>
      <w:r w:rsidRPr="005D6289">
        <w:rPr>
          <w:rFonts w:ascii="Times New Roman" w:hAnsi="Times New Roman"/>
          <w:i/>
          <w:iCs/>
          <w:sz w:val="24"/>
          <w:szCs w:val="24"/>
        </w:rPr>
        <w:t xml:space="preserve">- Розрахунки договірної ціни*, розроблені в ліцензійному програмному комплексі АВК-5 або іншому сумісному з ним ліцензійному програмному комплексі (на підтвердження надати діючу ліцензію на програмний комплекс, в якому здійснено надані учасником розрахунки договірної ціни) </w:t>
      </w:r>
      <w:r w:rsidRPr="003A0846">
        <w:rPr>
          <w:rFonts w:ascii="Times New Roman" w:hAnsi="Times New Roman"/>
          <w:b/>
          <w:i/>
          <w:iCs/>
          <w:sz w:val="24"/>
          <w:szCs w:val="24"/>
        </w:rPr>
        <w:t xml:space="preserve">у відповідності до Кошторисних норм України, затверджених наказом Міністерства розвитку громад та територій України від 01.11.2021р. №281, </w:t>
      </w:r>
      <w:bookmarkStart w:id="1" w:name="_Hlk213150867"/>
      <w:r w:rsidRPr="003A0846">
        <w:rPr>
          <w:rFonts w:ascii="Times New Roman" w:hAnsi="Times New Roman"/>
          <w:b/>
          <w:i/>
          <w:iCs/>
          <w:sz w:val="24"/>
          <w:szCs w:val="24"/>
        </w:rPr>
        <w:t xml:space="preserve">у відповідності до </w:t>
      </w:r>
      <w:bookmarkEnd w:id="1"/>
      <w:r w:rsidRPr="003A0846">
        <w:rPr>
          <w:rFonts w:ascii="Times New Roman" w:hAnsi="Times New Roman"/>
          <w:b/>
          <w:i/>
          <w:iCs/>
          <w:sz w:val="24"/>
          <w:szCs w:val="24"/>
        </w:rPr>
        <w:t>визначення вартості об’єкта будівництва при складанні ціни пропозиції учасника процедури закупівлі (договірної ціни)</w:t>
      </w:r>
      <w:r w:rsidRPr="005D6289">
        <w:rPr>
          <w:rFonts w:ascii="Times New Roman" w:hAnsi="Times New Roman"/>
          <w:i/>
          <w:iCs/>
          <w:sz w:val="24"/>
          <w:szCs w:val="24"/>
        </w:rPr>
        <w:t>, до складу якого входять:</w:t>
      </w:r>
    </w:p>
    <w:p w14:paraId="3DBB2B0C" w14:textId="77777777" w:rsidR="009C5A73" w:rsidRPr="005D6289" w:rsidRDefault="009C5A73" w:rsidP="009C5A73">
      <w:pPr>
        <w:spacing w:after="0" w:line="240" w:lineRule="auto"/>
        <w:ind w:right="-1" w:firstLine="708"/>
        <w:jc w:val="both"/>
        <w:rPr>
          <w:rFonts w:ascii="Times New Roman" w:hAnsi="Times New Roman"/>
          <w:i/>
          <w:iCs/>
          <w:sz w:val="24"/>
          <w:szCs w:val="24"/>
        </w:rPr>
      </w:pPr>
      <w:r w:rsidRPr="005D6289">
        <w:rPr>
          <w:rFonts w:ascii="Times New Roman" w:hAnsi="Times New Roman"/>
          <w:i/>
          <w:iCs/>
          <w:sz w:val="24"/>
          <w:szCs w:val="24"/>
        </w:rPr>
        <w:t>-  договірна ціна з пояснювальною запискою до неї (договірна ціна учасника встановлюється твердою та повинна відповідати ціні тендерної пропозиції учасника);</w:t>
      </w:r>
    </w:p>
    <w:p w14:paraId="506F3E28" w14:textId="77777777" w:rsidR="009C5A73" w:rsidRPr="005D6289" w:rsidRDefault="009C5A73" w:rsidP="009C5A73">
      <w:pPr>
        <w:spacing w:after="0" w:line="240" w:lineRule="auto"/>
        <w:ind w:right="-1" w:firstLine="708"/>
        <w:jc w:val="both"/>
        <w:rPr>
          <w:rFonts w:ascii="Times New Roman" w:hAnsi="Times New Roman"/>
          <w:i/>
          <w:iCs/>
          <w:sz w:val="24"/>
          <w:szCs w:val="24"/>
        </w:rPr>
      </w:pPr>
      <w:r w:rsidRPr="005D6289">
        <w:rPr>
          <w:rFonts w:ascii="Times New Roman" w:hAnsi="Times New Roman"/>
          <w:i/>
          <w:iCs/>
          <w:sz w:val="24"/>
          <w:szCs w:val="24"/>
        </w:rPr>
        <w:t>- локальний кошторис (складений у відповідності до технічного завдання замовника (перелік та обсяг робіт повинні відповідати технічному завданню (Додаток 4 (4.1.) – Дефектний акт);</w:t>
      </w:r>
    </w:p>
    <w:p w14:paraId="56B0535B" w14:textId="77777777" w:rsidR="009C5A73" w:rsidRPr="005D6289" w:rsidRDefault="009C5A73" w:rsidP="009C5A73">
      <w:pPr>
        <w:spacing w:after="0" w:line="240" w:lineRule="auto"/>
        <w:ind w:right="-1" w:firstLine="708"/>
        <w:jc w:val="both"/>
        <w:rPr>
          <w:rFonts w:ascii="Times New Roman" w:hAnsi="Times New Roman"/>
          <w:i/>
          <w:iCs/>
          <w:sz w:val="24"/>
          <w:szCs w:val="24"/>
        </w:rPr>
      </w:pPr>
      <w:r w:rsidRPr="003E45AF">
        <w:rPr>
          <w:rFonts w:ascii="Times New Roman" w:hAnsi="Times New Roman"/>
          <w:b/>
          <w:bCs/>
          <w:i/>
          <w:iCs/>
          <w:sz w:val="24"/>
          <w:szCs w:val="24"/>
        </w:rPr>
        <w:t>-   підсумкова відомість ресурсів (складена у відповідності до технічного завдання замовника (Додаток 4 (4.2.) – Відомість ресурсів).</w:t>
      </w:r>
      <w:r w:rsidRPr="005D6289">
        <w:rPr>
          <w:rFonts w:ascii="Times New Roman" w:hAnsi="Times New Roman"/>
          <w:i/>
          <w:iCs/>
          <w:sz w:val="24"/>
          <w:szCs w:val="24"/>
        </w:rPr>
        <w:t xml:space="preserve"> Учасник у Підсумковій відомості ресурсів зазначає, в тому числі, показники в частині «</w:t>
      </w:r>
      <w:proofErr w:type="spellStart"/>
      <w:r w:rsidRPr="005D6289">
        <w:rPr>
          <w:rFonts w:ascii="Times New Roman" w:hAnsi="Times New Roman"/>
          <w:i/>
          <w:iCs/>
          <w:sz w:val="24"/>
          <w:szCs w:val="24"/>
        </w:rPr>
        <w:t>Енергоносiї</w:t>
      </w:r>
      <w:proofErr w:type="spellEnd"/>
      <w:r w:rsidRPr="005D6289">
        <w:rPr>
          <w:rFonts w:ascii="Times New Roman" w:hAnsi="Times New Roman"/>
          <w:i/>
          <w:iCs/>
          <w:sz w:val="24"/>
          <w:szCs w:val="24"/>
        </w:rPr>
        <w:t xml:space="preserve"> машин, врахованих в </w:t>
      </w:r>
      <w:proofErr w:type="spellStart"/>
      <w:r w:rsidRPr="005D6289">
        <w:rPr>
          <w:rFonts w:ascii="Times New Roman" w:hAnsi="Times New Roman"/>
          <w:i/>
          <w:iCs/>
          <w:sz w:val="24"/>
          <w:szCs w:val="24"/>
        </w:rPr>
        <w:t>складi</w:t>
      </w:r>
      <w:proofErr w:type="spellEnd"/>
      <w:r w:rsidRPr="005D6289">
        <w:rPr>
          <w:rFonts w:ascii="Times New Roman" w:hAnsi="Times New Roman"/>
          <w:i/>
          <w:iCs/>
          <w:sz w:val="24"/>
          <w:szCs w:val="24"/>
        </w:rPr>
        <w:t xml:space="preserve"> загальновиробничих витрат»</w:t>
      </w:r>
    </w:p>
    <w:p w14:paraId="457AA732" w14:textId="77777777" w:rsidR="009C5A73" w:rsidRPr="005D6289" w:rsidRDefault="009C5A73" w:rsidP="009C5A73">
      <w:pPr>
        <w:spacing w:after="0" w:line="240" w:lineRule="auto"/>
        <w:ind w:right="-1" w:firstLine="708"/>
        <w:jc w:val="both"/>
        <w:rPr>
          <w:rFonts w:ascii="Times New Roman" w:hAnsi="Times New Roman"/>
          <w:i/>
          <w:iCs/>
          <w:sz w:val="24"/>
          <w:szCs w:val="24"/>
        </w:rPr>
      </w:pPr>
    </w:p>
    <w:p w14:paraId="0D6CFA8A" w14:textId="77777777" w:rsidR="009C5A73" w:rsidRPr="00061CC6" w:rsidRDefault="009C5A73" w:rsidP="009C5A73">
      <w:pPr>
        <w:spacing w:after="0" w:line="240" w:lineRule="auto"/>
        <w:ind w:right="-1" w:firstLine="708"/>
        <w:jc w:val="both"/>
        <w:rPr>
          <w:rFonts w:ascii="Times New Roman" w:hAnsi="Times New Roman"/>
          <w:sz w:val="24"/>
          <w:szCs w:val="24"/>
        </w:rPr>
      </w:pPr>
      <w:r w:rsidRPr="005D6289">
        <w:rPr>
          <w:rFonts w:ascii="Times New Roman" w:hAnsi="Times New Roman"/>
          <w:i/>
          <w:iCs/>
          <w:sz w:val="24"/>
          <w:szCs w:val="24"/>
        </w:rPr>
        <w:t>У випадку надання розрахунків не у повному обсязі чи таких, що не відповідають технічному завданню (Додаток 4 (4.1 та 4.2)), тендерна пропозиція учасника буде відхилена як така, що не відповідає умовам технічної специфікації та іншим вимогам щодо предмета закупівлі тендерної документації</w:t>
      </w:r>
      <w:r w:rsidRPr="00061CC6">
        <w:rPr>
          <w:rFonts w:ascii="Times New Roman" w:hAnsi="Times New Roman"/>
          <w:sz w:val="24"/>
          <w:szCs w:val="24"/>
        </w:rPr>
        <w:t>.</w:t>
      </w:r>
    </w:p>
    <w:p w14:paraId="28D43DA7" w14:textId="77777777" w:rsidR="009C5A73" w:rsidRDefault="009C5A73" w:rsidP="009C5A73">
      <w:pPr>
        <w:spacing w:after="0" w:line="240" w:lineRule="auto"/>
        <w:ind w:right="-1"/>
        <w:jc w:val="both"/>
        <w:rPr>
          <w:rFonts w:ascii="Times New Roman" w:hAnsi="Times New Roman"/>
          <w:sz w:val="24"/>
          <w:szCs w:val="24"/>
        </w:rPr>
      </w:pPr>
    </w:p>
    <w:p w14:paraId="714DE803" w14:textId="77777777" w:rsidR="009C5A73" w:rsidRPr="003A0846" w:rsidRDefault="009C5A73" w:rsidP="009C5A73">
      <w:pPr>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На виконання зазначеної вимоги Переможцем закупівлі надана договірна ціна з пояснювальною запискою до неї, локальний кошторис та підсумкова відомість ресурсів (файл «119. Договірна ціна 753 (119).</w:t>
      </w:r>
      <w:proofErr w:type="spellStart"/>
      <w:r w:rsidRPr="00061CC6">
        <w:rPr>
          <w:rFonts w:ascii="Times New Roman" w:hAnsi="Times New Roman"/>
          <w:sz w:val="24"/>
          <w:szCs w:val="24"/>
        </w:rPr>
        <w:t>pdf</w:t>
      </w:r>
      <w:proofErr w:type="spellEnd"/>
      <w:r w:rsidRPr="00061CC6">
        <w:rPr>
          <w:rFonts w:ascii="Times New Roman" w:hAnsi="Times New Roman"/>
          <w:sz w:val="24"/>
          <w:szCs w:val="24"/>
        </w:rPr>
        <w:t>»</w:t>
      </w:r>
      <w:r>
        <w:rPr>
          <w:rFonts w:ascii="Times New Roman" w:hAnsi="Times New Roman"/>
          <w:sz w:val="24"/>
          <w:szCs w:val="24"/>
        </w:rPr>
        <w:t>, ст. 28-32</w:t>
      </w:r>
      <w:r w:rsidRPr="00061CC6">
        <w:rPr>
          <w:rFonts w:ascii="Times New Roman" w:hAnsi="Times New Roman"/>
          <w:sz w:val="24"/>
          <w:szCs w:val="24"/>
        </w:rPr>
        <w:t>).</w:t>
      </w:r>
      <w:r>
        <w:rPr>
          <w:rFonts w:ascii="Times New Roman" w:hAnsi="Times New Roman"/>
          <w:sz w:val="24"/>
          <w:szCs w:val="24"/>
        </w:rPr>
        <w:t xml:space="preserve"> </w:t>
      </w:r>
      <w:r w:rsidRPr="003A0846">
        <w:rPr>
          <w:rFonts w:ascii="Times New Roman" w:hAnsi="Times New Roman"/>
          <w:bCs/>
          <w:sz w:val="24"/>
          <w:szCs w:val="24"/>
        </w:rPr>
        <w:t xml:space="preserve">У підсумковій відомості ресурсів </w:t>
      </w:r>
      <w:r w:rsidRPr="00E82714">
        <w:rPr>
          <w:rFonts w:ascii="Times New Roman" w:hAnsi="Times New Roman"/>
          <w:b/>
          <w:sz w:val="24"/>
          <w:szCs w:val="24"/>
        </w:rPr>
        <w:t>по позиціям №№  61, 82-84, 108 Переможець зазначив прочерки («-») у стовпчику «Заготівельно-складські витрати, грн.».</w:t>
      </w:r>
      <w:r w:rsidRPr="00061CC6">
        <w:rPr>
          <w:rFonts w:ascii="Times New Roman" w:hAnsi="Times New Roman"/>
          <w:b/>
          <w:sz w:val="24"/>
          <w:szCs w:val="24"/>
        </w:rPr>
        <w:t xml:space="preserve"> </w:t>
      </w:r>
    </w:p>
    <w:p w14:paraId="54CAABB5" w14:textId="77777777" w:rsidR="009C5A73" w:rsidRDefault="009C5A73" w:rsidP="009C5A73">
      <w:pPr>
        <w:spacing w:after="0" w:line="240" w:lineRule="auto"/>
        <w:ind w:right="-1" w:firstLine="708"/>
        <w:jc w:val="both"/>
        <w:rPr>
          <w:rFonts w:ascii="Times New Roman" w:hAnsi="Times New Roman"/>
          <w:sz w:val="24"/>
          <w:szCs w:val="24"/>
        </w:rPr>
      </w:pPr>
    </w:p>
    <w:p w14:paraId="7E2A18E4" w14:textId="77777777" w:rsidR="009C5A73" w:rsidRPr="003A0846" w:rsidRDefault="009C5A73" w:rsidP="009C5A73">
      <w:pPr>
        <w:spacing w:after="0" w:line="240" w:lineRule="auto"/>
        <w:ind w:right="-1" w:firstLine="708"/>
        <w:jc w:val="both"/>
        <w:rPr>
          <w:rFonts w:ascii="Times New Roman" w:hAnsi="Times New Roman"/>
          <w:i/>
          <w:iCs/>
          <w:sz w:val="24"/>
          <w:szCs w:val="24"/>
        </w:rPr>
      </w:pPr>
      <w:r w:rsidRPr="00061CC6">
        <w:rPr>
          <w:rFonts w:ascii="Times New Roman" w:hAnsi="Times New Roman"/>
          <w:sz w:val="24"/>
          <w:szCs w:val="24"/>
        </w:rPr>
        <w:t xml:space="preserve">Відповідно до вимог пункту 5.10 </w:t>
      </w:r>
      <w:r>
        <w:rPr>
          <w:rFonts w:ascii="Times New Roman" w:hAnsi="Times New Roman"/>
          <w:sz w:val="24"/>
          <w:szCs w:val="24"/>
        </w:rPr>
        <w:t xml:space="preserve">розділу </w:t>
      </w:r>
      <w:r>
        <w:rPr>
          <w:rFonts w:ascii="Times New Roman" w:hAnsi="Times New Roman"/>
          <w:sz w:val="24"/>
          <w:szCs w:val="24"/>
          <w:lang w:val="en-US"/>
        </w:rPr>
        <w:t>V</w:t>
      </w:r>
      <w:r w:rsidRPr="003A0846">
        <w:rPr>
          <w:rFonts w:ascii="Times New Roman" w:hAnsi="Times New Roman"/>
          <w:sz w:val="24"/>
          <w:szCs w:val="24"/>
        </w:rPr>
        <w:t xml:space="preserve"> </w:t>
      </w:r>
      <w:r>
        <w:rPr>
          <w:rFonts w:ascii="Times New Roman" w:hAnsi="Times New Roman"/>
          <w:sz w:val="24"/>
          <w:szCs w:val="24"/>
        </w:rPr>
        <w:t>«В</w:t>
      </w:r>
      <w:r w:rsidRPr="003A0846">
        <w:rPr>
          <w:rFonts w:ascii="Times New Roman" w:hAnsi="Times New Roman"/>
          <w:sz w:val="24"/>
          <w:szCs w:val="24"/>
        </w:rPr>
        <w:t>изначення вартості об’єкта будівництва при складанні ціни пропозиції учасника процедури закупівлі (договірної ціни)</w:t>
      </w:r>
      <w:r>
        <w:rPr>
          <w:rFonts w:ascii="Times New Roman" w:hAnsi="Times New Roman"/>
          <w:sz w:val="24"/>
          <w:szCs w:val="24"/>
        </w:rPr>
        <w:t xml:space="preserve">» </w:t>
      </w:r>
      <w:r w:rsidRPr="00061CC6">
        <w:rPr>
          <w:rFonts w:ascii="Times New Roman" w:hAnsi="Times New Roman"/>
          <w:sz w:val="24"/>
          <w:szCs w:val="24"/>
        </w:rPr>
        <w:t>Настанови з визначення вартості будівництва, затвердженої наказом Міністерства розвитку громад та територій України від 01.11.2021р. №281</w:t>
      </w:r>
      <w:r>
        <w:rPr>
          <w:rFonts w:ascii="Times New Roman" w:hAnsi="Times New Roman"/>
          <w:sz w:val="24"/>
          <w:szCs w:val="24"/>
        </w:rPr>
        <w:t xml:space="preserve"> (далі – Настанова)</w:t>
      </w:r>
      <w:r w:rsidRPr="00061CC6">
        <w:rPr>
          <w:rFonts w:ascii="Times New Roman" w:hAnsi="Times New Roman"/>
          <w:sz w:val="24"/>
          <w:szCs w:val="24"/>
        </w:rPr>
        <w:t xml:space="preserve"> </w:t>
      </w:r>
      <w:r w:rsidRPr="003A0846">
        <w:rPr>
          <w:rFonts w:ascii="Times New Roman" w:hAnsi="Times New Roman"/>
          <w:i/>
          <w:iCs/>
          <w:sz w:val="24"/>
          <w:szCs w:val="24"/>
        </w:rPr>
        <w:t>поточні ціни на матеріальні ресурси приймаються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w:t>
      </w:r>
    </w:p>
    <w:p w14:paraId="3009D060" w14:textId="77777777" w:rsidR="009C5A73" w:rsidRPr="003A0846" w:rsidRDefault="009C5A73" w:rsidP="009C5A73">
      <w:pPr>
        <w:spacing w:after="0" w:line="240" w:lineRule="auto"/>
        <w:ind w:right="-1" w:firstLine="708"/>
        <w:jc w:val="both"/>
        <w:rPr>
          <w:rFonts w:ascii="Times New Roman" w:hAnsi="Times New Roman"/>
          <w:i/>
          <w:iCs/>
          <w:sz w:val="24"/>
          <w:szCs w:val="24"/>
        </w:rPr>
      </w:pPr>
      <w:r w:rsidRPr="003A0846">
        <w:rPr>
          <w:rFonts w:ascii="Times New Roman" w:hAnsi="Times New Roman"/>
          <w:i/>
          <w:iCs/>
          <w:sz w:val="24"/>
          <w:szCs w:val="24"/>
        </w:rPr>
        <w:t>Витрати з транспортування матеріальних ресурсів розраховуються на підставі їх нормативної кількості, відстані перевезень та чинних тарифів. Якщо перевезення планується здійснювати власними транспортними засобами учасника процедури закупівлі (підрядника), витрати з транспортування матеріальних ресурсів визначаються на підставі розрахунків вартості перевезень за 1 т на необхідну відстань відповідними транспортними засобами. Загальновиробничі та адміністративні витрати, а також прибуток враховуються в ціні пропозиції учасника процедури закупівлі (договірній ціні) в цілому по об’єкту будівництва і обчислюються з урахуванням трудовитрат робітників, зайнятих на керуванні та обслуговуванні власного автомобільного транспорту.</w:t>
      </w:r>
    </w:p>
    <w:p w14:paraId="038BBBEF" w14:textId="77777777" w:rsidR="009C5A73" w:rsidRPr="00061CC6" w:rsidRDefault="009C5A73" w:rsidP="009C5A73">
      <w:pPr>
        <w:spacing w:after="0" w:line="240" w:lineRule="auto"/>
        <w:ind w:right="-1" w:firstLine="708"/>
        <w:jc w:val="both"/>
        <w:rPr>
          <w:rFonts w:ascii="Times New Roman" w:hAnsi="Times New Roman"/>
          <w:b/>
          <w:sz w:val="24"/>
          <w:szCs w:val="24"/>
        </w:rPr>
      </w:pPr>
      <w:r w:rsidRPr="003A0846">
        <w:rPr>
          <w:rFonts w:ascii="Times New Roman" w:hAnsi="Times New Roman"/>
          <w:b/>
          <w:i/>
          <w:iCs/>
          <w:sz w:val="24"/>
          <w:szCs w:val="24"/>
        </w:rPr>
        <w:lastRenderedPageBreak/>
        <w:t xml:space="preserve">Заготівельно-складські витрати </w:t>
      </w:r>
      <w:r w:rsidRPr="006A4376">
        <w:rPr>
          <w:rFonts w:ascii="Times New Roman" w:hAnsi="Times New Roman"/>
          <w:b/>
          <w:i/>
          <w:iCs/>
          <w:sz w:val="24"/>
          <w:szCs w:val="24"/>
          <w:u w:val="single"/>
        </w:rPr>
        <w:t>розраховуються</w:t>
      </w:r>
      <w:r w:rsidRPr="003A0846">
        <w:rPr>
          <w:rFonts w:ascii="Times New Roman" w:hAnsi="Times New Roman"/>
          <w:b/>
          <w:i/>
          <w:iCs/>
          <w:sz w:val="24"/>
          <w:szCs w:val="24"/>
        </w:rPr>
        <w:t xml:space="preserve"> виходячи з відповідних статей цих витрат та обсягів </w:t>
      </w:r>
      <w:r w:rsidRPr="00C25166">
        <w:rPr>
          <w:rFonts w:ascii="Times New Roman" w:hAnsi="Times New Roman"/>
          <w:b/>
          <w:i/>
          <w:iCs/>
          <w:sz w:val="24"/>
          <w:szCs w:val="24"/>
          <w:u w:val="single"/>
        </w:rPr>
        <w:t xml:space="preserve">матеріальних ресурсів, </w:t>
      </w:r>
      <w:r w:rsidRPr="003E45AF">
        <w:rPr>
          <w:rFonts w:ascii="Times New Roman" w:hAnsi="Times New Roman"/>
          <w:b/>
          <w:i/>
          <w:iCs/>
          <w:sz w:val="24"/>
          <w:szCs w:val="24"/>
          <w:u w:val="single"/>
        </w:rPr>
        <w:t>які зберігаються на складах</w:t>
      </w:r>
      <w:r w:rsidRPr="003A0846">
        <w:rPr>
          <w:rFonts w:ascii="Times New Roman" w:hAnsi="Times New Roman"/>
          <w:b/>
          <w:i/>
          <w:iCs/>
          <w:sz w:val="24"/>
          <w:szCs w:val="24"/>
        </w:rPr>
        <w:t xml:space="preserve"> та застосовуються безпосередньо на об’єкті будівництва, потужності організації та обсягів робіт по цьому об’єкту будівництва або за домовленістю сторін за відсотковими показниками, передбаченими в </w:t>
      </w:r>
      <w:proofErr w:type="spellStart"/>
      <w:r w:rsidRPr="003A0846">
        <w:rPr>
          <w:rFonts w:ascii="Times New Roman" w:hAnsi="Times New Roman"/>
          <w:b/>
          <w:i/>
          <w:iCs/>
          <w:sz w:val="24"/>
          <w:szCs w:val="24"/>
        </w:rPr>
        <w:t>інвесторській</w:t>
      </w:r>
      <w:proofErr w:type="spellEnd"/>
      <w:r w:rsidRPr="003A0846">
        <w:rPr>
          <w:rFonts w:ascii="Times New Roman" w:hAnsi="Times New Roman"/>
          <w:b/>
          <w:i/>
          <w:iCs/>
          <w:sz w:val="24"/>
          <w:szCs w:val="24"/>
        </w:rPr>
        <w:t xml:space="preserve"> кошторисній документації, що обумовлюється договором</w:t>
      </w:r>
      <w:r w:rsidRPr="00061CC6">
        <w:rPr>
          <w:rFonts w:ascii="Times New Roman" w:hAnsi="Times New Roman"/>
          <w:b/>
          <w:sz w:val="24"/>
          <w:szCs w:val="24"/>
        </w:rPr>
        <w:t>.</w:t>
      </w:r>
      <w:r w:rsidRPr="00061CC6">
        <w:rPr>
          <w:rFonts w:ascii="Times New Roman" w:hAnsi="Times New Roman"/>
          <w:b/>
          <w:sz w:val="24"/>
          <w:szCs w:val="24"/>
        </w:rPr>
        <w:cr/>
      </w:r>
    </w:p>
    <w:p w14:paraId="22B57720" w14:textId="77777777" w:rsidR="009C5A73" w:rsidRPr="00061CC6"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Скаржник стверджує, що </w:t>
      </w:r>
      <w:r w:rsidRPr="00061CC6">
        <w:rPr>
          <w:rFonts w:ascii="Times New Roman" w:hAnsi="Times New Roman"/>
          <w:sz w:val="24"/>
          <w:szCs w:val="24"/>
        </w:rPr>
        <w:t>Настанова не передбачає жодних виключень щодо можливості врахування або неврахування заготівельно-складських витрат за бажанням учасника. Використання прочерків або пропусків суперечить вимогам Настанови, оскільки вона не містить формулювання «</w:t>
      </w:r>
      <w:r w:rsidRPr="00061CC6">
        <w:rPr>
          <w:rFonts w:ascii="Times New Roman" w:hAnsi="Times New Roman"/>
          <w:i/>
          <w:sz w:val="24"/>
          <w:szCs w:val="24"/>
        </w:rPr>
        <w:t>можуть враховуватися</w:t>
      </w:r>
      <w:r w:rsidRPr="00061CC6">
        <w:rPr>
          <w:rFonts w:ascii="Times New Roman" w:hAnsi="Times New Roman"/>
          <w:sz w:val="24"/>
          <w:szCs w:val="24"/>
        </w:rPr>
        <w:t>» для цього виду витрат.</w:t>
      </w:r>
      <w:r>
        <w:rPr>
          <w:rFonts w:ascii="Times New Roman" w:hAnsi="Times New Roman"/>
          <w:sz w:val="24"/>
          <w:szCs w:val="24"/>
        </w:rPr>
        <w:t xml:space="preserve"> Т</w:t>
      </w:r>
      <w:r w:rsidRPr="00061CC6">
        <w:rPr>
          <w:rFonts w:ascii="Times New Roman" w:hAnsi="Times New Roman"/>
          <w:sz w:val="24"/>
          <w:szCs w:val="24"/>
        </w:rPr>
        <w:t>ендерна документація також не передбачала можливості</w:t>
      </w:r>
      <w:r>
        <w:rPr>
          <w:rFonts w:ascii="Times New Roman" w:hAnsi="Times New Roman"/>
          <w:sz w:val="24"/>
          <w:szCs w:val="24"/>
        </w:rPr>
        <w:t xml:space="preserve"> </w:t>
      </w:r>
      <w:r w:rsidRPr="00061CC6">
        <w:rPr>
          <w:rFonts w:ascii="Times New Roman" w:hAnsi="Times New Roman"/>
          <w:sz w:val="24"/>
          <w:szCs w:val="24"/>
        </w:rPr>
        <w:t xml:space="preserve">не враховувати (включати) заготівельно-складські витрати щодо окремих позицій відомості ресурсів. </w:t>
      </w:r>
      <w:r>
        <w:rPr>
          <w:rFonts w:ascii="Times New Roman" w:hAnsi="Times New Roman"/>
          <w:sz w:val="24"/>
          <w:szCs w:val="24"/>
        </w:rPr>
        <w:t>В</w:t>
      </w:r>
      <w:r w:rsidRPr="00061CC6">
        <w:rPr>
          <w:rFonts w:ascii="Times New Roman" w:hAnsi="Times New Roman"/>
          <w:sz w:val="24"/>
          <w:szCs w:val="24"/>
        </w:rPr>
        <w:t>ідсутність даних у підсумковій відомості ресурсів Переможця (позначення «–» у графі «Заготівельно-складські витрати, грн.») свідчить про невиконання вимог як тендерної документації, так і пункту 5.10 Настанови.</w:t>
      </w:r>
      <w:r>
        <w:rPr>
          <w:rFonts w:ascii="Times New Roman" w:hAnsi="Times New Roman"/>
          <w:sz w:val="24"/>
          <w:szCs w:val="24"/>
        </w:rPr>
        <w:t xml:space="preserve"> </w:t>
      </w:r>
      <w:r w:rsidRPr="00061CC6">
        <w:rPr>
          <w:rFonts w:ascii="Times New Roman" w:hAnsi="Times New Roman"/>
          <w:sz w:val="24"/>
          <w:szCs w:val="24"/>
        </w:rPr>
        <w:t>Оскільки підсумкова відомість ресурсів Переможця закупівлі містить неповні та неконкретні дані, вона не підтверджує відповідність технічним, якісним, кількісним та іншим вимогам Замовника, встановленим у пункті 3 частини 1.1 додатку 1 до тендерної документації.</w:t>
      </w:r>
    </w:p>
    <w:p w14:paraId="26A7BC0D"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Не погоджуємось із зазначеним твердження Скаржника з огляду на наступне.</w:t>
      </w:r>
    </w:p>
    <w:p w14:paraId="0BE605C2"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По-перше, </w:t>
      </w:r>
      <w:r w:rsidRPr="00061CC6">
        <w:rPr>
          <w:rFonts w:ascii="Times New Roman" w:hAnsi="Times New Roman"/>
          <w:sz w:val="24"/>
          <w:szCs w:val="24"/>
        </w:rPr>
        <w:t>Настанова</w:t>
      </w:r>
      <w:r>
        <w:rPr>
          <w:rFonts w:ascii="Times New Roman" w:hAnsi="Times New Roman"/>
          <w:sz w:val="24"/>
          <w:szCs w:val="24"/>
        </w:rPr>
        <w:t xml:space="preserve"> встановлює порядок розрахунку з</w:t>
      </w:r>
      <w:r w:rsidRPr="003E45AF">
        <w:rPr>
          <w:rFonts w:ascii="Times New Roman" w:hAnsi="Times New Roman"/>
          <w:sz w:val="24"/>
          <w:szCs w:val="24"/>
        </w:rPr>
        <w:t>аготівельно-складськ</w:t>
      </w:r>
      <w:r>
        <w:rPr>
          <w:rFonts w:ascii="Times New Roman" w:hAnsi="Times New Roman"/>
          <w:sz w:val="24"/>
          <w:szCs w:val="24"/>
        </w:rPr>
        <w:t>их</w:t>
      </w:r>
      <w:r w:rsidRPr="003E45AF">
        <w:rPr>
          <w:rFonts w:ascii="Times New Roman" w:hAnsi="Times New Roman"/>
          <w:sz w:val="24"/>
          <w:szCs w:val="24"/>
        </w:rPr>
        <w:t xml:space="preserve"> витрат</w:t>
      </w:r>
      <w:r>
        <w:rPr>
          <w:rFonts w:ascii="Times New Roman" w:hAnsi="Times New Roman"/>
          <w:sz w:val="24"/>
          <w:szCs w:val="24"/>
        </w:rPr>
        <w:t xml:space="preserve"> (</w:t>
      </w:r>
      <w:r w:rsidRPr="00AE4728">
        <w:rPr>
          <w:rFonts w:ascii="Times New Roman" w:hAnsi="Times New Roman"/>
          <w:i/>
          <w:iCs/>
          <w:sz w:val="24"/>
          <w:szCs w:val="24"/>
        </w:rPr>
        <w:t>Заготівельно-складські витрати розраховуються …</w:t>
      </w:r>
      <w:r>
        <w:rPr>
          <w:rFonts w:ascii="Times New Roman" w:hAnsi="Times New Roman"/>
          <w:sz w:val="24"/>
          <w:szCs w:val="24"/>
        </w:rPr>
        <w:t xml:space="preserve">), а саме передбачено, що вони розраховуються </w:t>
      </w:r>
      <w:r w:rsidRPr="008A47C8">
        <w:rPr>
          <w:rFonts w:ascii="Times New Roman" w:hAnsi="Times New Roman"/>
          <w:sz w:val="24"/>
          <w:szCs w:val="24"/>
        </w:rPr>
        <w:t>виходячи з відповідних статей цих витрат</w:t>
      </w:r>
      <w:r>
        <w:rPr>
          <w:rFonts w:ascii="Times New Roman" w:hAnsi="Times New Roman"/>
          <w:sz w:val="24"/>
          <w:szCs w:val="24"/>
        </w:rPr>
        <w:t xml:space="preserve"> (</w:t>
      </w:r>
      <w:r w:rsidRPr="008A47C8">
        <w:rPr>
          <w:rFonts w:ascii="Times New Roman" w:hAnsi="Times New Roman"/>
          <w:sz w:val="24"/>
          <w:szCs w:val="24"/>
        </w:rPr>
        <w:t>стат</w:t>
      </w:r>
      <w:r>
        <w:rPr>
          <w:rFonts w:ascii="Times New Roman" w:hAnsi="Times New Roman"/>
          <w:sz w:val="24"/>
          <w:szCs w:val="24"/>
        </w:rPr>
        <w:t>ті з</w:t>
      </w:r>
      <w:r w:rsidRPr="003E45AF">
        <w:rPr>
          <w:rFonts w:ascii="Times New Roman" w:hAnsi="Times New Roman"/>
          <w:sz w:val="24"/>
          <w:szCs w:val="24"/>
        </w:rPr>
        <w:t>аготівельн</w:t>
      </w:r>
      <w:r>
        <w:rPr>
          <w:rFonts w:ascii="Times New Roman" w:hAnsi="Times New Roman"/>
          <w:sz w:val="24"/>
          <w:szCs w:val="24"/>
        </w:rPr>
        <w:t xml:space="preserve">их та </w:t>
      </w:r>
      <w:r w:rsidRPr="008A47C8">
        <w:rPr>
          <w:rFonts w:ascii="Times New Roman" w:hAnsi="Times New Roman"/>
          <w:sz w:val="24"/>
          <w:szCs w:val="24"/>
        </w:rPr>
        <w:t>стат</w:t>
      </w:r>
      <w:r>
        <w:rPr>
          <w:rFonts w:ascii="Times New Roman" w:hAnsi="Times New Roman"/>
          <w:sz w:val="24"/>
          <w:szCs w:val="24"/>
        </w:rPr>
        <w:t xml:space="preserve">ті </w:t>
      </w:r>
      <w:r w:rsidRPr="003E45AF">
        <w:rPr>
          <w:rFonts w:ascii="Times New Roman" w:hAnsi="Times New Roman"/>
          <w:sz w:val="24"/>
          <w:szCs w:val="24"/>
        </w:rPr>
        <w:t>складськ</w:t>
      </w:r>
      <w:r>
        <w:rPr>
          <w:rFonts w:ascii="Times New Roman" w:hAnsi="Times New Roman"/>
          <w:sz w:val="24"/>
          <w:szCs w:val="24"/>
        </w:rPr>
        <w:t>их</w:t>
      </w:r>
      <w:r w:rsidRPr="003E45AF">
        <w:rPr>
          <w:rFonts w:ascii="Times New Roman" w:hAnsi="Times New Roman"/>
          <w:sz w:val="24"/>
          <w:szCs w:val="24"/>
        </w:rPr>
        <w:t xml:space="preserve"> витрат</w:t>
      </w:r>
      <w:r>
        <w:rPr>
          <w:rFonts w:ascii="Times New Roman" w:hAnsi="Times New Roman"/>
          <w:sz w:val="24"/>
          <w:szCs w:val="24"/>
        </w:rPr>
        <w:t>)</w:t>
      </w:r>
      <w:r w:rsidRPr="008A47C8">
        <w:rPr>
          <w:rFonts w:ascii="Times New Roman" w:hAnsi="Times New Roman"/>
          <w:sz w:val="24"/>
          <w:szCs w:val="24"/>
        </w:rPr>
        <w:t xml:space="preserve"> та обсягів </w:t>
      </w:r>
      <w:r w:rsidRPr="008A47C8">
        <w:rPr>
          <w:rFonts w:ascii="Times New Roman" w:hAnsi="Times New Roman"/>
          <w:sz w:val="24"/>
          <w:szCs w:val="24"/>
          <w:u w:val="single"/>
        </w:rPr>
        <w:t>матеріальних ресурсів, які зберігаються на складах</w:t>
      </w:r>
      <w:r w:rsidRPr="008A47C8">
        <w:rPr>
          <w:rFonts w:ascii="Times New Roman" w:hAnsi="Times New Roman"/>
          <w:sz w:val="24"/>
          <w:szCs w:val="24"/>
        </w:rPr>
        <w:t xml:space="preserve"> та застосовуються на об’єкті</w:t>
      </w:r>
      <w:r>
        <w:rPr>
          <w:rFonts w:ascii="Times New Roman" w:hAnsi="Times New Roman"/>
          <w:sz w:val="24"/>
          <w:szCs w:val="24"/>
        </w:rPr>
        <w:t>. Таким чином розрахунок з</w:t>
      </w:r>
      <w:r w:rsidRPr="003E45AF">
        <w:rPr>
          <w:rFonts w:ascii="Times New Roman" w:hAnsi="Times New Roman"/>
          <w:sz w:val="24"/>
          <w:szCs w:val="24"/>
        </w:rPr>
        <w:t>аготівельно-складськ</w:t>
      </w:r>
      <w:r>
        <w:rPr>
          <w:rFonts w:ascii="Times New Roman" w:hAnsi="Times New Roman"/>
          <w:sz w:val="24"/>
          <w:szCs w:val="24"/>
        </w:rPr>
        <w:t>их</w:t>
      </w:r>
      <w:r w:rsidRPr="003E45AF">
        <w:rPr>
          <w:rFonts w:ascii="Times New Roman" w:hAnsi="Times New Roman"/>
          <w:sz w:val="24"/>
          <w:szCs w:val="24"/>
        </w:rPr>
        <w:t xml:space="preserve"> витрат</w:t>
      </w:r>
      <w:r>
        <w:rPr>
          <w:rFonts w:ascii="Times New Roman" w:hAnsi="Times New Roman"/>
          <w:sz w:val="24"/>
          <w:szCs w:val="24"/>
        </w:rPr>
        <w:t xml:space="preserve"> передбачено саме для </w:t>
      </w:r>
      <w:r w:rsidRPr="008A47C8">
        <w:rPr>
          <w:rFonts w:ascii="Times New Roman" w:hAnsi="Times New Roman"/>
          <w:sz w:val="24"/>
          <w:szCs w:val="24"/>
        </w:rPr>
        <w:t>матеріальних ресурсів, які зберігаються на складах</w:t>
      </w:r>
      <w:r>
        <w:rPr>
          <w:rFonts w:ascii="Times New Roman" w:hAnsi="Times New Roman"/>
          <w:sz w:val="24"/>
          <w:szCs w:val="24"/>
        </w:rPr>
        <w:t xml:space="preserve"> та </w:t>
      </w:r>
      <w:r w:rsidRPr="008A47C8">
        <w:rPr>
          <w:rFonts w:ascii="Times New Roman" w:hAnsi="Times New Roman"/>
          <w:sz w:val="24"/>
          <w:szCs w:val="24"/>
        </w:rPr>
        <w:t>застосовуються на об’єкті</w:t>
      </w:r>
      <w:r>
        <w:rPr>
          <w:rFonts w:ascii="Times New Roman" w:hAnsi="Times New Roman"/>
          <w:sz w:val="24"/>
          <w:szCs w:val="24"/>
        </w:rPr>
        <w:t xml:space="preserve">. Разом з тим не всі </w:t>
      </w:r>
      <w:r w:rsidRPr="00C25166">
        <w:rPr>
          <w:rFonts w:ascii="Times New Roman" w:hAnsi="Times New Roman"/>
          <w:sz w:val="24"/>
          <w:szCs w:val="24"/>
        </w:rPr>
        <w:t>матеріальн</w:t>
      </w:r>
      <w:r>
        <w:rPr>
          <w:rFonts w:ascii="Times New Roman" w:hAnsi="Times New Roman"/>
          <w:sz w:val="24"/>
          <w:szCs w:val="24"/>
        </w:rPr>
        <w:t>і</w:t>
      </w:r>
      <w:r w:rsidRPr="00C25166">
        <w:rPr>
          <w:rFonts w:ascii="Times New Roman" w:hAnsi="Times New Roman"/>
          <w:sz w:val="24"/>
          <w:szCs w:val="24"/>
        </w:rPr>
        <w:t xml:space="preserve"> ресурс</w:t>
      </w:r>
      <w:r>
        <w:rPr>
          <w:rFonts w:ascii="Times New Roman" w:hAnsi="Times New Roman"/>
          <w:sz w:val="24"/>
          <w:szCs w:val="24"/>
        </w:rPr>
        <w:t>и, застосування яких передбачено</w:t>
      </w:r>
      <w:r w:rsidRPr="008A47C8">
        <w:rPr>
          <w:rFonts w:ascii="Times New Roman" w:hAnsi="Times New Roman"/>
          <w:sz w:val="24"/>
          <w:szCs w:val="24"/>
        </w:rPr>
        <w:t xml:space="preserve"> на об’єкті</w:t>
      </w:r>
      <w:r>
        <w:rPr>
          <w:rFonts w:ascii="Times New Roman" w:hAnsi="Times New Roman"/>
          <w:sz w:val="24"/>
          <w:szCs w:val="24"/>
        </w:rPr>
        <w:t xml:space="preserve"> робіт, потребують </w:t>
      </w:r>
      <w:r w:rsidRPr="00C25166">
        <w:rPr>
          <w:rFonts w:ascii="Times New Roman" w:hAnsi="Times New Roman"/>
          <w:sz w:val="24"/>
          <w:szCs w:val="24"/>
        </w:rPr>
        <w:t>зберіга</w:t>
      </w:r>
      <w:r>
        <w:rPr>
          <w:rFonts w:ascii="Times New Roman" w:hAnsi="Times New Roman"/>
          <w:sz w:val="24"/>
          <w:szCs w:val="24"/>
        </w:rPr>
        <w:t>ння</w:t>
      </w:r>
      <w:r w:rsidRPr="00C25166">
        <w:rPr>
          <w:rFonts w:ascii="Times New Roman" w:hAnsi="Times New Roman"/>
          <w:sz w:val="24"/>
          <w:szCs w:val="24"/>
        </w:rPr>
        <w:t xml:space="preserve"> на складах</w:t>
      </w:r>
      <w:r>
        <w:rPr>
          <w:rFonts w:ascii="Times New Roman" w:hAnsi="Times New Roman"/>
          <w:sz w:val="24"/>
          <w:szCs w:val="24"/>
        </w:rPr>
        <w:t xml:space="preserve">, оскільки можуть безпосередньо доставляються продавцем цих ресурсів </w:t>
      </w:r>
      <w:r w:rsidRPr="00812A4A">
        <w:rPr>
          <w:rFonts w:ascii="Times New Roman" w:hAnsi="Times New Roman"/>
          <w:sz w:val="24"/>
          <w:szCs w:val="24"/>
        </w:rPr>
        <w:t>на об’єкт</w:t>
      </w:r>
      <w:r>
        <w:rPr>
          <w:rFonts w:ascii="Times New Roman" w:hAnsi="Times New Roman"/>
          <w:sz w:val="24"/>
          <w:szCs w:val="24"/>
        </w:rPr>
        <w:t xml:space="preserve"> будівництва.</w:t>
      </w:r>
    </w:p>
    <w:p w14:paraId="12779E73"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По-друге, </w:t>
      </w:r>
      <w:r w:rsidRPr="00061CC6">
        <w:rPr>
          <w:rFonts w:ascii="Times New Roman" w:hAnsi="Times New Roman"/>
          <w:sz w:val="24"/>
          <w:szCs w:val="24"/>
        </w:rPr>
        <w:t>Настанова</w:t>
      </w:r>
      <w:r>
        <w:rPr>
          <w:rFonts w:ascii="Times New Roman" w:hAnsi="Times New Roman"/>
          <w:sz w:val="24"/>
          <w:szCs w:val="24"/>
        </w:rPr>
        <w:t xml:space="preserve"> не містить </w:t>
      </w:r>
      <w:r w:rsidRPr="00061CC6">
        <w:rPr>
          <w:rFonts w:ascii="Times New Roman" w:hAnsi="Times New Roman"/>
          <w:sz w:val="24"/>
          <w:szCs w:val="24"/>
        </w:rPr>
        <w:t>формулювання «</w:t>
      </w:r>
      <w:r w:rsidRPr="00061CC6">
        <w:rPr>
          <w:rFonts w:ascii="Times New Roman" w:hAnsi="Times New Roman"/>
          <w:i/>
          <w:sz w:val="24"/>
          <w:szCs w:val="24"/>
        </w:rPr>
        <w:t>врахову</w:t>
      </w:r>
      <w:r>
        <w:rPr>
          <w:rFonts w:ascii="Times New Roman" w:hAnsi="Times New Roman"/>
          <w:i/>
          <w:sz w:val="24"/>
          <w:szCs w:val="24"/>
        </w:rPr>
        <w:t>ють</w:t>
      </w:r>
      <w:r w:rsidRPr="00061CC6">
        <w:rPr>
          <w:rFonts w:ascii="Times New Roman" w:hAnsi="Times New Roman"/>
          <w:i/>
          <w:sz w:val="24"/>
          <w:szCs w:val="24"/>
        </w:rPr>
        <w:t>ся</w:t>
      </w:r>
      <w:r w:rsidRPr="00061CC6">
        <w:rPr>
          <w:rFonts w:ascii="Times New Roman" w:hAnsi="Times New Roman"/>
          <w:sz w:val="24"/>
          <w:szCs w:val="24"/>
        </w:rPr>
        <w:t>»</w:t>
      </w:r>
      <w:r>
        <w:rPr>
          <w:rFonts w:ascii="Times New Roman" w:hAnsi="Times New Roman"/>
          <w:sz w:val="24"/>
          <w:szCs w:val="24"/>
        </w:rPr>
        <w:t xml:space="preserve"> (чи іншого аналогічного)</w:t>
      </w:r>
      <w:r w:rsidRPr="00061CC6">
        <w:rPr>
          <w:rFonts w:ascii="Times New Roman" w:hAnsi="Times New Roman"/>
          <w:sz w:val="24"/>
          <w:szCs w:val="24"/>
        </w:rPr>
        <w:t xml:space="preserve"> для </w:t>
      </w:r>
      <w:r>
        <w:rPr>
          <w:rFonts w:ascii="Times New Roman" w:hAnsi="Times New Roman"/>
          <w:sz w:val="24"/>
          <w:szCs w:val="24"/>
        </w:rPr>
        <w:t>з</w:t>
      </w:r>
      <w:r w:rsidRPr="00114B65">
        <w:rPr>
          <w:rFonts w:ascii="Times New Roman" w:hAnsi="Times New Roman"/>
          <w:sz w:val="24"/>
          <w:szCs w:val="24"/>
        </w:rPr>
        <w:t>аготівельно-складськ</w:t>
      </w:r>
      <w:r>
        <w:rPr>
          <w:rFonts w:ascii="Times New Roman" w:hAnsi="Times New Roman"/>
          <w:sz w:val="24"/>
          <w:szCs w:val="24"/>
        </w:rPr>
        <w:t>их</w:t>
      </w:r>
      <w:r w:rsidRPr="00114B65">
        <w:rPr>
          <w:rFonts w:ascii="Times New Roman" w:hAnsi="Times New Roman"/>
          <w:sz w:val="24"/>
          <w:szCs w:val="24"/>
        </w:rPr>
        <w:t xml:space="preserve"> витрат</w:t>
      </w:r>
      <w:r>
        <w:rPr>
          <w:rFonts w:ascii="Times New Roman" w:hAnsi="Times New Roman"/>
          <w:sz w:val="24"/>
          <w:szCs w:val="24"/>
        </w:rPr>
        <w:t xml:space="preserve">. Тобто розділом </w:t>
      </w:r>
      <w:r>
        <w:rPr>
          <w:rFonts w:ascii="Times New Roman" w:hAnsi="Times New Roman"/>
          <w:sz w:val="24"/>
          <w:szCs w:val="24"/>
          <w:lang w:val="en-US"/>
        </w:rPr>
        <w:t>V</w:t>
      </w:r>
      <w:r w:rsidRPr="003A0846">
        <w:rPr>
          <w:rFonts w:ascii="Times New Roman" w:hAnsi="Times New Roman"/>
          <w:sz w:val="24"/>
          <w:szCs w:val="24"/>
        </w:rPr>
        <w:t xml:space="preserve"> </w:t>
      </w:r>
      <w:r>
        <w:rPr>
          <w:rFonts w:ascii="Times New Roman" w:hAnsi="Times New Roman"/>
          <w:sz w:val="24"/>
          <w:szCs w:val="24"/>
        </w:rPr>
        <w:t>«В</w:t>
      </w:r>
      <w:r w:rsidRPr="003A0846">
        <w:rPr>
          <w:rFonts w:ascii="Times New Roman" w:hAnsi="Times New Roman"/>
          <w:sz w:val="24"/>
          <w:szCs w:val="24"/>
        </w:rPr>
        <w:t>изначення вартості об’єкта будівництва при складанні ціни пропозиції учасника процедури закупівлі (договірної ціни)</w:t>
      </w:r>
      <w:r>
        <w:rPr>
          <w:rFonts w:ascii="Times New Roman" w:hAnsi="Times New Roman"/>
          <w:sz w:val="24"/>
          <w:szCs w:val="24"/>
        </w:rPr>
        <w:t xml:space="preserve">» </w:t>
      </w:r>
      <w:r w:rsidRPr="00061CC6">
        <w:rPr>
          <w:rFonts w:ascii="Times New Roman" w:hAnsi="Times New Roman"/>
          <w:sz w:val="24"/>
          <w:szCs w:val="24"/>
        </w:rPr>
        <w:t>Настанови</w:t>
      </w:r>
      <w:r>
        <w:rPr>
          <w:rFonts w:ascii="Times New Roman" w:hAnsi="Times New Roman"/>
          <w:sz w:val="24"/>
          <w:szCs w:val="24"/>
        </w:rPr>
        <w:t xml:space="preserve">, </w:t>
      </w:r>
      <w:r w:rsidRPr="00114B65">
        <w:rPr>
          <w:rFonts w:ascii="Times New Roman" w:hAnsi="Times New Roman"/>
          <w:sz w:val="24"/>
          <w:szCs w:val="24"/>
        </w:rPr>
        <w:t>у відповідності до</w:t>
      </w:r>
      <w:r>
        <w:rPr>
          <w:rFonts w:ascii="Times New Roman" w:hAnsi="Times New Roman"/>
          <w:sz w:val="24"/>
          <w:szCs w:val="24"/>
        </w:rPr>
        <w:t xml:space="preserve"> якого мають бути розроблені розрахунки договірної ціни учасника, не встановлено обов’язковості врахування з</w:t>
      </w:r>
      <w:r w:rsidRPr="00114B65">
        <w:rPr>
          <w:rFonts w:ascii="Times New Roman" w:hAnsi="Times New Roman"/>
          <w:sz w:val="24"/>
          <w:szCs w:val="24"/>
        </w:rPr>
        <w:t>аготівельно-складськ</w:t>
      </w:r>
      <w:r>
        <w:rPr>
          <w:rFonts w:ascii="Times New Roman" w:hAnsi="Times New Roman"/>
          <w:sz w:val="24"/>
          <w:szCs w:val="24"/>
        </w:rPr>
        <w:t>их</w:t>
      </w:r>
      <w:r w:rsidRPr="00114B65">
        <w:rPr>
          <w:rFonts w:ascii="Times New Roman" w:hAnsi="Times New Roman"/>
          <w:sz w:val="24"/>
          <w:szCs w:val="24"/>
        </w:rPr>
        <w:t xml:space="preserve"> витрат</w:t>
      </w:r>
      <w:r>
        <w:rPr>
          <w:rFonts w:ascii="Times New Roman" w:hAnsi="Times New Roman"/>
          <w:sz w:val="24"/>
          <w:szCs w:val="24"/>
        </w:rPr>
        <w:t xml:space="preserve"> в </w:t>
      </w:r>
      <w:r w:rsidRPr="00C139B2">
        <w:rPr>
          <w:rFonts w:ascii="Times New Roman" w:hAnsi="Times New Roman"/>
          <w:sz w:val="24"/>
          <w:szCs w:val="24"/>
        </w:rPr>
        <w:t>поточн</w:t>
      </w:r>
      <w:r>
        <w:rPr>
          <w:rFonts w:ascii="Times New Roman" w:hAnsi="Times New Roman"/>
          <w:sz w:val="24"/>
          <w:szCs w:val="24"/>
        </w:rPr>
        <w:t>их</w:t>
      </w:r>
      <w:r w:rsidRPr="00C139B2">
        <w:rPr>
          <w:rFonts w:ascii="Times New Roman" w:hAnsi="Times New Roman"/>
          <w:sz w:val="24"/>
          <w:szCs w:val="24"/>
        </w:rPr>
        <w:t xml:space="preserve"> цін</w:t>
      </w:r>
      <w:r>
        <w:rPr>
          <w:rFonts w:ascii="Times New Roman" w:hAnsi="Times New Roman"/>
          <w:sz w:val="24"/>
          <w:szCs w:val="24"/>
        </w:rPr>
        <w:t>ах</w:t>
      </w:r>
      <w:r w:rsidRPr="00C139B2">
        <w:rPr>
          <w:rFonts w:ascii="Times New Roman" w:hAnsi="Times New Roman"/>
          <w:sz w:val="24"/>
          <w:szCs w:val="24"/>
        </w:rPr>
        <w:t xml:space="preserve"> на матеріальні ресурси</w:t>
      </w:r>
      <w:r>
        <w:rPr>
          <w:rFonts w:ascii="Times New Roman" w:hAnsi="Times New Roman"/>
          <w:sz w:val="24"/>
          <w:szCs w:val="24"/>
        </w:rPr>
        <w:t>.</w:t>
      </w:r>
    </w:p>
    <w:p w14:paraId="12065362" w14:textId="77777777" w:rsidR="009C5A73" w:rsidRDefault="009C5A73" w:rsidP="009C5A73">
      <w:pPr>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В</w:t>
      </w:r>
      <w:r>
        <w:rPr>
          <w:rFonts w:ascii="Times New Roman" w:hAnsi="Times New Roman"/>
          <w:sz w:val="24"/>
          <w:szCs w:val="24"/>
        </w:rPr>
        <w:t xml:space="preserve"> супереч твердженням Скаржника в</w:t>
      </w:r>
      <w:r w:rsidRPr="00061CC6">
        <w:rPr>
          <w:rFonts w:ascii="Times New Roman" w:hAnsi="Times New Roman"/>
          <w:sz w:val="24"/>
          <w:szCs w:val="24"/>
        </w:rPr>
        <w:t>икористання прочерків або пропусків</w:t>
      </w:r>
      <w:r>
        <w:rPr>
          <w:rFonts w:ascii="Times New Roman" w:hAnsi="Times New Roman"/>
          <w:sz w:val="24"/>
          <w:szCs w:val="24"/>
        </w:rPr>
        <w:t xml:space="preserve"> щодо з</w:t>
      </w:r>
      <w:r w:rsidRPr="00114B65">
        <w:rPr>
          <w:rFonts w:ascii="Times New Roman" w:hAnsi="Times New Roman"/>
          <w:sz w:val="24"/>
          <w:szCs w:val="24"/>
        </w:rPr>
        <w:t>аготівельно-складськ</w:t>
      </w:r>
      <w:r>
        <w:rPr>
          <w:rFonts w:ascii="Times New Roman" w:hAnsi="Times New Roman"/>
          <w:sz w:val="24"/>
          <w:szCs w:val="24"/>
        </w:rPr>
        <w:t>их</w:t>
      </w:r>
      <w:r w:rsidRPr="00114B65">
        <w:rPr>
          <w:rFonts w:ascii="Times New Roman" w:hAnsi="Times New Roman"/>
          <w:sz w:val="24"/>
          <w:szCs w:val="24"/>
        </w:rPr>
        <w:t xml:space="preserve"> витрат</w:t>
      </w:r>
      <w:r>
        <w:rPr>
          <w:rFonts w:ascii="Times New Roman" w:hAnsi="Times New Roman"/>
          <w:sz w:val="24"/>
          <w:szCs w:val="24"/>
        </w:rPr>
        <w:t xml:space="preserve"> не</w:t>
      </w:r>
      <w:r w:rsidRPr="00061CC6">
        <w:rPr>
          <w:rFonts w:ascii="Times New Roman" w:hAnsi="Times New Roman"/>
          <w:sz w:val="24"/>
          <w:szCs w:val="24"/>
        </w:rPr>
        <w:t xml:space="preserve"> суперечить вимогам Настанови</w:t>
      </w:r>
      <w:r>
        <w:rPr>
          <w:rFonts w:ascii="Times New Roman" w:hAnsi="Times New Roman"/>
          <w:sz w:val="24"/>
          <w:szCs w:val="24"/>
        </w:rPr>
        <w:t>, та не заборонено нею.</w:t>
      </w:r>
    </w:p>
    <w:p w14:paraId="17B99385"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П. </w:t>
      </w:r>
      <w:r w:rsidRPr="00061CC6">
        <w:rPr>
          <w:rFonts w:ascii="Times New Roman" w:hAnsi="Times New Roman"/>
          <w:sz w:val="24"/>
          <w:szCs w:val="24"/>
        </w:rPr>
        <w:t>5.10</w:t>
      </w:r>
      <w:r>
        <w:rPr>
          <w:rFonts w:ascii="Times New Roman" w:hAnsi="Times New Roman"/>
          <w:sz w:val="24"/>
          <w:szCs w:val="24"/>
        </w:rPr>
        <w:t xml:space="preserve"> Настанови передбачено, що </w:t>
      </w:r>
      <w:r w:rsidRPr="006A4376">
        <w:rPr>
          <w:rFonts w:ascii="Times New Roman" w:hAnsi="Times New Roman"/>
          <w:sz w:val="24"/>
          <w:szCs w:val="24"/>
        </w:rPr>
        <w:t>поточні ціни на матеріальні ресурси приймаються</w:t>
      </w:r>
      <w:r w:rsidRPr="00AE4728">
        <w:rPr>
          <w:rFonts w:ascii="Times New Roman" w:hAnsi="Times New Roman"/>
          <w:sz w:val="24"/>
          <w:szCs w:val="24"/>
        </w:rPr>
        <w:t xml:space="preserve"> на підставі проведеного учасником процедури закупівлі (підрядником) аналізу цін (при рівних якісних характеристиках), за обґрунтованою ціною матеріальних ресурсів, що склалася на дату оформлення ціни пропозиції та яка не повинна перевищувати середню ціну в регіоні.</w:t>
      </w:r>
      <w:r>
        <w:rPr>
          <w:rFonts w:ascii="Times New Roman" w:hAnsi="Times New Roman"/>
          <w:sz w:val="24"/>
          <w:szCs w:val="24"/>
        </w:rPr>
        <w:t xml:space="preserve"> Переможцем прийнято </w:t>
      </w:r>
      <w:r w:rsidRPr="006A4376">
        <w:rPr>
          <w:rFonts w:ascii="Times New Roman" w:hAnsi="Times New Roman"/>
          <w:sz w:val="24"/>
          <w:szCs w:val="24"/>
        </w:rPr>
        <w:t>поточні ціни на матеріальні ресурси</w:t>
      </w:r>
      <w:r>
        <w:rPr>
          <w:rFonts w:ascii="Times New Roman" w:hAnsi="Times New Roman"/>
          <w:sz w:val="24"/>
          <w:szCs w:val="24"/>
        </w:rPr>
        <w:t xml:space="preserve"> по усім позиціям відомості ресурсів </w:t>
      </w:r>
      <w:r w:rsidRPr="00AE4728">
        <w:rPr>
          <w:rFonts w:ascii="Times New Roman" w:hAnsi="Times New Roman"/>
          <w:sz w:val="24"/>
          <w:szCs w:val="24"/>
        </w:rPr>
        <w:t>на підставі проведеного аналізу цін</w:t>
      </w:r>
      <w:r>
        <w:rPr>
          <w:rFonts w:ascii="Times New Roman" w:hAnsi="Times New Roman"/>
          <w:sz w:val="24"/>
          <w:szCs w:val="24"/>
        </w:rPr>
        <w:t>, чим виконано вимогу п.</w:t>
      </w:r>
      <w:r w:rsidRPr="006A4376">
        <w:rPr>
          <w:rFonts w:ascii="Times New Roman" w:hAnsi="Times New Roman"/>
          <w:sz w:val="24"/>
          <w:szCs w:val="24"/>
        </w:rPr>
        <w:t xml:space="preserve"> </w:t>
      </w:r>
      <w:r w:rsidRPr="00061CC6">
        <w:rPr>
          <w:rFonts w:ascii="Times New Roman" w:hAnsi="Times New Roman"/>
          <w:sz w:val="24"/>
          <w:szCs w:val="24"/>
        </w:rPr>
        <w:t>5.10</w:t>
      </w:r>
      <w:r>
        <w:rPr>
          <w:rFonts w:ascii="Times New Roman" w:hAnsi="Times New Roman"/>
          <w:sz w:val="24"/>
          <w:szCs w:val="24"/>
        </w:rPr>
        <w:t xml:space="preserve"> Настанови.</w:t>
      </w:r>
    </w:p>
    <w:p w14:paraId="455D22A4" w14:textId="77777777" w:rsidR="009C5A73" w:rsidRDefault="009C5A73" w:rsidP="009C5A73">
      <w:pPr>
        <w:spacing w:after="0" w:line="240" w:lineRule="auto"/>
        <w:ind w:right="-1" w:firstLine="708"/>
        <w:jc w:val="both"/>
        <w:rPr>
          <w:rFonts w:ascii="Times New Roman" w:hAnsi="Times New Roman"/>
          <w:sz w:val="24"/>
          <w:szCs w:val="24"/>
        </w:rPr>
      </w:pPr>
      <w:r>
        <w:rPr>
          <w:rFonts w:ascii="Times New Roman" w:hAnsi="Times New Roman"/>
          <w:sz w:val="24"/>
          <w:szCs w:val="24"/>
        </w:rPr>
        <w:t>По-третє, Д</w:t>
      </w:r>
      <w:r w:rsidRPr="00061CC6">
        <w:rPr>
          <w:rFonts w:ascii="Times New Roman" w:hAnsi="Times New Roman"/>
          <w:sz w:val="24"/>
          <w:szCs w:val="24"/>
        </w:rPr>
        <w:t xml:space="preserve">окументація не </w:t>
      </w:r>
      <w:r>
        <w:rPr>
          <w:rFonts w:ascii="Times New Roman" w:hAnsi="Times New Roman"/>
          <w:sz w:val="24"/>
          <w:szCs w:val="24"/>
        </w:rPr>
        <w:t>містить вимог</w:t>
      </w:r>
      <w:r w:rsidRPr="00061CC6">
        <w:rPr>
          <w:rFonts w:ascii="Times New Roman" w:hAnsi="Times New Roman"/>
          <w:sz w:val="24"/>
          <w:szCs w:val="24"/>
        </w:rPr>
        <w:t xml:space="preserve"> </w:t>
      </w:r>
      <w:r>
        <w:rPr>
          <w:rFonts w:ascii="Times New Roman" w:hAnsi="Times New Roman"/>
          <w:sz w:val="24"/>
          <w:szCs w:val="24"/>
        </w:rPr>
        <w:t xml:space="preserve">щодо </w:t>
      </w:r>
      <w:r w:rsidRPr="00061CC6">
        <w:rPr>
          <w:rFonts w:ascii="Times New Roman" w:hAnsi="Times New Roman"/>
          <w:sz w:val="24"/>
          <w:szCs w:val="24"/>
        </w:rPr>
        <w:t>врах</w:t>
      </w:r>
      <w:r>
        <w:rPr>
          <w:rFonts w:ascii="Times New Roman" w:hAnsi="Times New Roman"/>
          <w:sz w:val="24"/>
          <w:szCs w:val="24"/>
        </w:rPr>
        <w:t>ування</w:t>
      </w:r>
      <w:r w:rsidRPr="00061CC6">
        <w:rPr>
          <w:rFonts w:ascii="Times New Roman" w:hAnsi="Times New Roman"/>
          <w:sz w:val="24"/>
          <w:szCs w:val="24"/>
        </w:rPr>
        <w:t xml:space="preserve"> заготівельно-складськ</w:t>
      </w:r>
      <w:r>
        <w:rPr>
          <w:rFonts w:ascii="Times New Roman" w:hAnsi="Times New Roman"/>
          <w:sz w:val="24"/>
          <w:szCs w:val="24"/>
        </w:rPr>
        <w:t>их</w:t>
      </w:r>
      <w:r w:rsidRPr="00061CC6">
        <w:rPr>
          <w:rFonts w:ascii="Times New Roman" w:hAnsi="Times New Roman"/>
          <w:sz w:val="24"/>
          <w:szCs w:val="24"/>
        </w:rPr>
        <w:t xml:space="preserve"> витрат</w:t>
      </w:r>
      <w:r>
        <w:rPr>
          <w:rFonts w:ascii="Times New Roman" w:hAnsi="Times New Roman"/>
          <w:sz w:val="24"/>
          <w:szCs w:val="24"/>
        </w:rPr>
        <w:t xml:space="preserve"> чи заборони щодо неврахування цих витрат в</w:t>
      </w:r>
      <w:r w:rsidRPr="00061CC6">
        <w:rPr>
          <w:rFonts w:ascii="Times New Roman" w:hAnsi="Times New Roman"/>
          <w:sz w:val="24"/>
          <w:szCs w:val="24"/>
        </w:rPr>
        <w:t xml:space="preserve"> окремих позиці</w:t>
      </w:r>
      <w:r>
        <w:rPr>
          <w:rFonts w:ascii="Times New Roman" w:hAnsi="Times New Roman"/>
          <w:sz w:val="24"/>
          <w:szCs w:val="24"/>
        </w:rPr>
        <w:t>ях</w:t>
      </w:r>
      <w:r w:rsidRPr="00061CC6">
        <w:rPr>
          <w:rFonts w:ascii="Times New Roman" w:hAnsi="Times New Roman"/>
          <w:sz w:val="24"/>
          <w:szCs w:val="24"/>
        </w:rPr>
        <w:t xml:space="preserve"> відомості ресурсів. </w:t>
      </w:r>
      <w:r>
        <w:rPr>
          <w:rFonts w:ascii="Times New Roman" w:hAnsi="Times New Roman"/>
          <w:sz w:val="24"/>
          <w:szCs w:val="24"/>
        </w:rPr>
        <w:t xml:space="preserve">Тому не </w:t>
      </w:r>
      <w:r w:rsidRPr="00061CC6">
        <w:rPr>
          <w:rFonts w:ascii="Times New Roman" w:hAnsi="Times New Roman"/>
          <w:sz w:val="24"/>
          <w:szCs w:val="24"/>
        </w:rPr>
        <w:t>врах</w:t>
      </w:r>
      <w:r>
        <w:rPr>
          <w:rFonts w:ascii="Times New Roman" w:hAnsi="Times New Roman"/>
          <w:sz w:val="24"/>
          <w:szCs w:val="24"/>
        </w:rPr>
        <w:t>ування</w:t>
      </w:r>
      <w:r w:rsidRPr="00061CC6">
        <w:rPr>
          <w:rFonts w:ascii="Times New Roman" w:hAnsi="Times New Roman"/>
          <w:sz w:val="24"/>
          <w:szCs w:val="24"/>
        </w:rPr>
        <w:t xml:space="preserve"> заготівельно-складськ</w:t>
      </w:r>
      <w:r>
        <w:rPr>
          <w:rFonts w:ascii="Times New Roman" w:hAnsi="Times New Roman"/>
          <w:sz w:val="24"/>
          <w:szCs w:val="24"/>
        </w:rPr>
        <w:t>их</w:t>
      </w:r>
      <w:r w:rsidRPr="00061CC6">
        <w:rPr>
          <w:rFonts w:ascii="Times New Roman" w:hAnsi="Times New Roman"/>
          <w:sz w:val="24"/>
          <w:szCs w:val="24"/>
        </w:rPr>
        <w:t xml:space="preserve"> витрат у підсумковій відомості ресурсів Переможця (позначення «–» у графі «Заготівельно-складські витрати, грн.») </w:t>
      </w:r>
      <w:r>
        <w:rPr>
          <w:rFonts w:ascii="Times New Roman" w:hAnsi="Times New Roman"/>
          <w:sz w:val="24"/>
          <w:szCs w:val="24"/>
        </w:rPr>
        <w:t>не порушує</w:t>
      </w:r>
      <w:r w:rsidRPr="00061CC6">
        <w:rPr>
          <w:rFonts w:ascii="Times New Roman" w:hAnsi="Times New Roman"/>
          <w:sz w:val="24"/>
          <w:szCs w:val="24"/>
        </w:rPr>
        <w:t xml:space="preserve"> вимог</w:t>
      </w:r>
      <w:r>
        <w:rPr>
          <w:rFonts w:ascii="Times New Roman" w:hAnsi="Times New Roman"/>
          <w:sz w:val="24"/>
          <w:szCs w:val="24"/>
        </w:rPr>
        <w:t>и</w:t>
      </w:r>
      <w:r w:rsidRPr="00061CC6">
        <w:rPr>
          <w:rFonts w:ascii="Times New Roman" w:hAnsi="Times New Roman"/>
          <w:sz w:val="24"/>
          <w:szCs w:val="24"/>
        </w:rPr>
        <w:t xml:space="preserve"> </w:t>
      </w:r>
      <w:r>
        <w:rPr>
          <w:rFonts w:ascii="Times New Roman" w:hAnsi="Times New Roman"/>
          <w:sz w:val="24"/>
          <w:szCs w:val="24"/>
        </w:rPr>
        <w:t>Д</w:t>
      </w:r>
      <w:r w:rsidRPr="00061CC6">
        <w:rPr>
          <w:rFonts w:ascii="Times New Roman" w:hAnsi="Times New Roman"/>
          <w:sz w:val="24"/>
          <w:szCs w:val="24"/>
        </w:rPr>
        <w:t>окументації.</w:t>
      </w:r>
      <w:r>
        <w:rPr>
          <w:rFonts w:ascii="Times New Roman" w:hAnsi="Times New Roman"/>
          <w:sz w:val="24"/>
          <w:szCs w:val="24"/>
        </w:rPr>
        <w:t xml:space="preserve"> </w:t>
      </w:r>
    </w:p>
    <w:p w14:paraId="2106D8CD" w14:textId="77777777" w:rsidR="009C5A73" w:rsidRDefault="009C5A73" w:rsidP="009C5A73">
      <w:pPr>
        <w:spacing w:after="0" w:line="240" w:lineRule="auto"/>
        <w:ind w:right="-1" w:firstLine="708"/>
        <w:jc w:val="both"/>
        <w:rPr>
          <w:rFonts w:ascii="Times New Roman" w:hAnsi="Times New Roman"/>
          <w:bCs/>
          <w:sz w:val="24"/>
          <w:szCs w:val="24"/>
        </w:rPr>
      </w:pPr>
      <w:r w:rsidRPr="003A0846">
        <w:rPr>
          <w:rFonts w:ascii="Times New Roman" w:hAnsi="Times New Roman"/>
          <w:bCs/>
          <w:sz w:val="24"/>
          <w:szCs w:val="24"/>
        </w:rPr>
        <w:t>У підсумковій відомості ресурсів по позиціям № 61, 82-84, 108 Переможець</w:t>
      </w:r>
      <w:r>
        <w:rPr>
          <w:rFonts w:ascii="Times New Roman" w:hAnsi="Times New Roman"/>
          <w:bCs/>
          <w:sz w:val="24"/>
          <w:szCs w:val="24"/>
        </w:rPr>
        <w:t xml:space="preserve"> зазначив наступні позиції:</w:t>
      </w:r>
    </w:p>
    <w:p w14:paraId="1EB8078B" w14:textId="6F7F6262" w:rsidR="009C5A73" w:rsidRDefault="009C5A73" w:rsidP="009C5A73">
      <w:pPr>
        <w:spacing w:after="0" w:line="240" w:lineRule="auto"/>
        <w:ind w:left="426" w:right="281"/>
        <w:jc w:val="both"/>
        <w:rPr>
          <w:rFonts w:ascii="Times New Roman" w:hAnsi="Times New Roman"/>
          <w:bCs/>
          <w:sz w:val="24"/>
          <w:szCs w:val="24"/>
        </w:rPr>
      </w:pPr>
      <w:r w:rsidRPr="00E82714">
        <w:rPr>
          <w:rFonts w:ascii="Times New Roman" w:hAnsi="Times New Roman"/>
          <w:noProof/>
          <w:sz w:val="24"/>
          <w:szCs w:val="24"/>
        </w:rPr>
        <w:drawing>
          <wp:inline distT="0" distB="0" distL="0" distR="0" wp14:anchorId="43319400" wp14:editId="204D020C">
            <wp:extent cx="6748780" cy="110553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6593" cy="1108453"/>
                    </a:xfrm>
                    <a:prstGeom prst="rect">
                      <a:avLst/>
                    </a:prstGeom>
                    <a:noFill/>
                    <a:ln>
                      <a:noFill/>
                    </a:ln>
                  </pic:spPr>
                </pic:pic>
              </a:graphicData>
            </a:graphic>
          </wp:inline>
        </w:drawing>
      </w:r>
    </w:p>
    <w:p w14:paraId="15061586" w14:textId="3A7FB31C" w:rsidR="009C5A73" w:rsidRDefault="009C5A73" w:rsidP="009C5A73">
      <w:pPr>
        <w:spacing w:after="0" w:line="240" w:lineRule="auto"/>
        <w:ind w:left="426" w:right="281"/>
        <w:jc w:val="both"/>
        <w:rPr>
          <w:rFonts w:ascii="Times New Roman" w:hAnsi="Times New Roman"/>
          <w:bCs/>
          <w:sz w:val="24"/>
          <w:szCs w:val="24"/>
        </w:rPr>
      </w:pPr>
      <w:r w:rsidRPr="00812A4A">
        <w:rPr>
          <w:rFonts w:ascii="Times New Roman" w:hAnsi="Times New Roman"/>
          <w:noProof/>
          <w:sz w:val="24"/>
          <w:szCs w:val="24"/>
        </w:rPr>
        <w:drawing>
          <wp:inline distT="0" distB="0" distL="0" distR="0" wp14:anchorId="60079AEA" wp14:editId="39D3F1D0">
            <wp:extent cx="6776075" cy="34798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93394" cy="348869"/>
                    </a:xfrm>
                    <a:prstGeom prst="rect">
                      <a:avLst/>
                    </a:prstGeom>
                    <a:noFill/>
                    <a:ln>
                      <a:noFill/>
                    </a:ln>
                  </pic:spPr>
                </pic:pic>
              </a:graphicData>
            </a:graphic>
          </wp:inline>
        </w:drawing>
      </w:r>
    </w:p>
    <w:p w14:paraId="257467BC" w14:textId="6D49ED0C" w:rsidR="009C5A73" w:rsidRDefault="009C5A73" w:rsidP="009C5A73">
      <w:pPr>
        <w:spacing w:after="0" w:line="240" w:lineRule="auto"/>
        <w:ind w:left="426" w:right="281"/>
        <w:jc w:val="both"/>
        <w:rPr>
          <w:rFonts w:ascii="Times New Roman" w:hAnsi="Times New Roman"/>
          <w:bCs/>
          <w:sz w:val="24"/>
          <w:szCs w:val="24"/>
        </w:rPr>
      </w:pPr>
      <w:r w:rsidRPr="00812A4A">
        <w:rPr>
          <w:rFonts w:ascii="Times New Roman" w:hAnsi="Times New Roman"/>
          <w:noProof/>
          <w:sz w:val="24"/>
          <w:szCs w:val="24"/>
        </w:rPr>
        <w:lastRenderedPageBreak/>
        <w:drawing>
          <wp:inline distT="0" distB="0" distL="0" distR="0" wp14:anchorId="1ECEF7D3" wp14:editId="54F44A54">
            <wp:extent cx="6755442" cy="682625"/>
            <wp:effectExtent l="0" t="0" r="762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4591" cy="684560"/>
                    </a:xfrm>
                    <a:prstGeom prst="rect">
                      <a:avLst/>
                    </a:prstGeom>
                    <a:noFill/>
                    <a:ln>
                      <a:noFill/>
                    </a:ln>
                  </pic:spPr>
                </pic:pic>
              </a:graphicData>
            </a:graphic>
          </wp:inline>
        </w:drawing>
      </w:r>
    </w:p>
    <w:p w14:paraId="7DBC57A8" w14:textId="1B8377AA" w:rsidR="009C5A73" w:rsidRDefault="009C5A73" w:rsidP="009C5A73">
      <w:pPr>
        <w:spacing w:after="0" w:line="240" w:lineRule="auto"/>
        <w:ind w:left="426" w:right="281"/>
        <w:jc w:val="both"/>
        <w:rPr>
          <w:rFonts w:ascii="Times New Roman" w:hAnsi="Times New Roman"/>
          <w:sz w:val="24"/>
          <w:szCs w:val="24"/>
        </w:rPr>
      </w:pPr>
      <w:r w:rsidRPr="00812A4A">
        <w:rPr>
          <w:rFonts w:ascii="Times New Roman" w:hAnsi="Times New Roman"/>
          <w:noProof/>
          <w:sz w:val="24"/>
          <w:szCs w:val="24"/>
        </w:rPr>
        <w:drawing>
          <wp:inline distT="0" distB="0" distL="0" distR="0" wp14:anchorId="050613F3" wp14:editId="6AADE73A">
            <wp:extent cx="6830505" cy="25273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2775" cy="253554"/>
                    </a:xfrm>
                    <a:prstGeom prst="rect">
                      <a:avLst/>
                    </a:prstGeom>
                    <a:noFill/>
                    <a:ln>
                      <a:noFill/>
                    </a:ln>
                  </pic:spPr>
                </pic:pic>
              </a:graphicData>
            </a:graphic>
          </wp:inline>
        </w:drawing>
      </w:r>
    </w:p>
    <w:p w14:paraId="3D7BC95C" w14:textId="77777777" w:rsidR="009C5A73" w:rsidRDefault="009C5A73" w:rsidP="009C5A73">
      <w:pPr>
        <w:spacing w:after="0" w:line="240" w:lineRule="auto"/>
        <w:ind w:left="426" w:right="281" w:firstLine="708"/>
        <w:jc w:val="both"/>
        <w:rPr>
          <w:rFonts w:ascii="Times New Roman" w:hAnsi="Times New Roman"/>
          <w:sz w:val="24"/>
          <w:szCs w:val="24"/>
        </w:rPr>
      </w:pPr>
    </w:p>
    <w:p w14:paraId="50E895AE" w14:textId="77777777" w:rsidR="009C5A73" w:rsidRPr="00177333" w:rsidRDefault="009C5A73" w:rsidP="00F8060D">
      <w:pPr>
        <w:tabs>
          <w:tab w:val="left" w:pos="10206"/>
        </w:tabs>
        <w:spacing w:after="0" w:line="240" w:lineRule="auto"/>
        <w:ind w:right="-1" w:firstLine="708"/>
        <w:jc w:val="both"/>
        <w:rPr>
          <w:rFonts w:ascii="Times New Roman" w:hAnsi="Times New Roman"/>
          <w:bCs/>
          <w:sz w:val="24"/>
          <w:szCs w:val="24"/>
        </w:rPr>
      </w:pPr>
      <w:r>
        <w:rPr>
          <w:rFonts w:ascii="Times New Roman" w:hAnsi="Times New Roman"/>
          <w:sz w:val="24"/>
          <w:szCs w:val="24"/>
        </w:rPr>
        <w:t xml:space="preserve">Звертаємо увагу, що позиції </w:t>
      </w:r>
      <w:r w:rsidRPr="003A0846">
        <w:rPr>
          <w:rFonts w:ascii="Times New Roman" w:hAnsi="Times New Roman"/>
          <w:bCs/>
          <w:sz w:val="24"/>
          <w:szCs w:val="24"/>
        </w:rPr>
        <w:t>№ 61, 82</w:t>
      </w:r>
      <w:r>
        <w:rPr>
          <w:rFonts w:ascii="Times New Roman" w:hAnsi="Times New Roman"/>
          <w:bCs/>
          <w:sz w:val="24"/>
          <w:szCs w:val="24"/>
        </w:rPr>
        <w:t xml:space="preserve">, 83 </w:t>
      </w:r>
      <w:r w:rsidRPr="003A0846">
        <w:rPr>
          <w:rFonts w:ascii="Times New Roman" w:hAnsi="Times New Roman"/>
          <w:bCs/>
          <w:sz w:val="24"/>
          <w:szCs w:val="24"/>
        </w:rPr>
        <w:t>підсумков</w:t>
      </w:r>
      <w:r>
        <w:rPr>
          <w:rFonts w:ascii="Times New Roman" w:hAnsi="Times New Roman"/>
          <w:bCs/>
          <w:sz w:val="24"/>
          <w:szCs w:val="24"/>
        </w:rPr>
        <w:t>ої</w:t>
      </w:r>
      <w:r w:rsidRPr="003A0846">
        <w:rPr>
          <w:rFonts w:ascii="Times New Roman" w:hAnsi="Times New Roman"/>
          <w:bCs/>
          <w:sz w:val="24"/>
          <w:szCs w:val="24"/>
        </w:rPr>
        <w:t xml:space="preserve"> відомості ресурсів Перемож</w:t>
      </w:r>
      <w:r>
        <w:rPr>
          <w:rFonts w:ascii="Times New Roman" w:hAnsi="Times New Roman"/>
          <w:bCs/>
          <w:sz w:val="24"/>
          <w:szCs w:val="24"/>
        </w:rPr>
        <w:t>ця в супереч твердженню Скаржника враховують з</w:t>
      </w:r>
      <w:r w:rsidRPr="00E82714">
        <w:rPr>
          <w:rFonts w:ascii="Times New Roman" w:hAnsi="Times New Roman"/>
          <w:bCs/>
          <w:sz w:val="24"/>
          <w:szCs w:val="24"/>
        </w:rPr>
        <w:t>аготівельно-складські витрати</w:t>
      </w:r>
      <w:r>
        <w:rPr>
          <w:rFonts w:ascii="Times New Roman" w:hAnsi="Times New Roman"/>
          <w:bCs/>
          <w:sz w:val="24"/>
          <w:szCs w:val="24"/>
        </w:rPr>
        <w:t xml:space="preserve">, а Скаржник наводить у скарзі інформацію, що не відповідає дійсності. </w:t>
      </w:r>
    </w:p>
    <w:p w14:paraId="05C30417" w14:textId="77777777" w:rsidR="009C5A73" w:rsidRDefault="009C5A73" w:rsidP="00F8060D">
      <w:pPr>
        <w:tabs>
          <w:tab w:val="left" w:pos="10206"/>
        </w:tabs>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Позиції </w:t>
      </w:r>
      <w:r w:rsidRPr="003A0846">
        <w:rPr>
          <w:rFonts w:ascii="Times New Roman" w:hAnsi="Times New Roman"/>
          <w:bCs/>
          <w:sz w:val="24"/>
          <w:szCs w:val="24"/>
        </w:rPr>
        <w:t xml:space="preserve">№ </w:t>
      </w:r>
      <w:r>
        <w:rPr>
          <w:rFonts w:ascii="Times New Roman" w:hAnsi="Times New Roman"/>
          <w:bCs/>
          <w:sz w:val="24"/>
          <w:szCs w:val="24"/>
        </w:rPr>
        <w:t xml:space="preserve">84 і 108 </w:t>
      </w:r>
      <w:r w:rsidRPr="003A0846">
        <w:rPr>
          <w:rFonts w:ascii="Times New Roman" w:hAnsi="Times New Roman"/>
          <w:bCs/>
          <w:sz w:val="24"/>
          <w:szCs w:val="24"/>
        </w:rPr>
        <w:t>підсумков</w:t>
      </w:r>
      <w:r>
        <w:rPr>
          <w:rFonts w:ascii="Times New Roman" w:hAnsi="Times New Roman"/>
          <w:bCs/>
          <w:sz w:val="24"/>
          <w:szCs w:val="24"/>
        </w:rPr>
        <w:t>ої</w:t>
      </w:r>
      <w:r w:rsidRPr="003A0846">
        <w:rPr>
          <w:rFonts w:ascii="Times New Roman" w:hAnsi="Times New Roman"/>
          <w:bCs/>
          <w:sz w:val="24"/>
          <w:szCs w:val="24"/>
        </w:rPr>
        <w:t xml:space="preserve"> відомості ресурсів Перемож</w:t>
      </w:r>
      <w:r>
        <w:rPr>
          <w:rFonts w:ascii="Times New Roman" w:hAnsi="Times New Roman"/>
          <w:bCs/>
          <w:sz w:val="24"/>
          <w:szCs w:val="24"/>
        </w:rPr>
        <w:t xml:space="preserve">ця – це </w:t>
      </w:r>
      <w:r w:rsidRPr="00812A4A">
        <w:rPr>
          <w:rFonts w:ascii="Times New Roman" w:hAnsi="Times New Roman"/>
          <w:sz w:val="24"/>
          <w:szCs w:val="24"/>
        </w:rPr>
        <w:t>матеріальн</w:t>
      </w:r>
      <w:r>
        <w:rPr>
          <w:rFonts w:ascii="Times New Roman" w:hAnsi="Times New Roman"/>
          <w:sz w:val="24"/>
          <w:szCs w:val="24"/>
        </w:rPr>
        <w:t>і</w:t>
      </w:r>
      <w:r w:rsidRPr="00812A4A">
        <w:rPr>
          <w:rFonts w:ascii="Times New Roman" w:hAnsi="Times New Roman"/>
          <w:sz w:val="24"/>
          <w:szCs w:val="24"/>
        </w:rPr>
        <w:t xml:space="preserve"> ресурс</w:t>
      </w:r>
      <w:r>
        <w:rPr>
          <w:rFonts w:ascii="Times New Roman" w:hAnsi="Times New Roman"/>
          <w:sz w:val="24"/>
          <w:szCs w:val="24"/>
        </w:rPr>
        <w:t>и</w:t>
      </w:r>
      <w:r w:rsidRPr="00812A4A">
        <w:rPr>
          <w:rFonts w:ascii="Times New Roman" w:hAnsi="Times New Roman"/>
          <w:sz w:val="24"/>
          <w:szCs w:val="24"/>
        </w:rPr>
        <w:t xml:space="preserve">, </w:t>
      </w:r>
      <w:r>
        <w:rPr>
          <w:rFonts w:ascii="Times New Roman" w:hAnsi="Times New Roman"/>
          <w:sz w:val="24"/>
          <w:szCs w:val="24"/>
        </w:rPr>
        <w:t>які можуть не</w:t>
      </w:r>
      <w:r w:rsidRPr="00812A4A">
        <w:rPr>
          <w:rFonts w:ascii="Times New Roman" w:hAnsi="Times New Roman"/>
          <w:sz w:val="24"/>
          <w:szCs w:val="24"/>
        </w:rPr>
        <w:t xml:space="preserve"> зберіга</w:t>
      </w:r>
      <w:r>
        <w:rPr>
          <w:rFonts w:ascii="Times New Roman" w:hAnsi="Times New Roman"/>
          <w:sz w:val="24"/>
          <w:szCs w:val="24"/>
        </w:rPr>
        <w:t>ти</w:t>
      </w:r>
      <w:r w:rsidRPr="00812A4A">
        <w:rPr>
          <w:rFonts w:ascii="Times New Roman" w:hAnsi="Times New Roman"/>
          <w:sz w:val="24"/>
          <w:szCs w:val="24"/>
        </w:rPr>
        <w:t>ся на складах</w:t>
      </w:r>
      <w:r>
        <w:rPr>
          <w:rFonts w:ascii="Times New Roman" w:hAnsi="Times New Roman"/>
          <w:sz w:val="24"/>
          <w:szCs w:val="24"/>
        </w:rPr>
        <w:t xml:space="preserve">, оскільки безпосередньо доставляються продавцем цих ресурсів переможцю </w:t>
      </w:r>
      <w:r w:rsidRPr="00812A4A">
        <w:rPr>
          <w:rFonts w:ascii="Times New Roman" w:hAnsi="Times New Roman"/>
          <w:sz w:val="24"/>
          <w:szCs w:val="24"/>
        </w:rPr>
        <w:t>на об’єкт</w:t>
      </w:r>
      <w:r>
        <w:rPr>
          <w:rFonts w:ascii="Times New Roman" w:hAnsi="Times New Roman"/>
          <w:sz w:val="24"/>
          <w:szCs w:val="24"/>
        </w:rPr>
        <w:t xml:space="preserve"> будівництва. Тому </w:t>
      </w:r>
      <w:r>
        <w:rPr>
          <w:rFonts w:ascii="Times New Roman" w:hAnsi="Times New Roman"/>
          <w:bCs/>
          <w:sz w:val="24"/>
          <w:szCs w:val="24"/>
        </w:rPr>
        <w:t>з</w:t>
      </w:r>
      <w:r w:rsidRPr="00E82714">
        <w:rPr>
          <w:rFonts w:ascii="Times New Roman" w:hAnsi="Times New Roman"/>
          <w:bCs/>
          <w:sz w:val="24"/>
          <w:szCs w:val="24"/>
        </w:rPr>
        <w:t>аготівельно-складські витрати</w:t>
      </w:r>
      <w:r>
        <w:rPr>
          <w:rFonts w:ascii="Times New Roman" w:hAnsi="Times New Roman"/>
          <w:bCs/>
          <w:sz w:val="24"/>
          <w:szCs w:val="24"/>
        </w:rPr>
        <w:t xml:space="preserve"> щодо таких ресурсів не розраховуються у відповідності до </w:t>
      </w:r>
      <w:r>
        <w:rPr>
          <w:rFonts w:ascii="Times New Roman" w:hAnsi="Times New Roman"/>
          <w:sz w:val="24"/>
          <w:szCs w:val="24"/>
        </w:rPr>
        <w:t xml:space="preserve">порядку розрахунку, передбаченого </w:t>
      </w:r>
      <w:r w:rsidRPr="00061CC6">
        <w:rPr>
          <w:rFonts w:ascii="Times New Roman" w:hAnsi="Times New Roman"/>
          <w:sz w:val="24"/>
          <w:szCs w:val="24"/>
        </w:rPr>
        <w:t>пункт</w:t>
      </w:r>
      <w:r>
        <w:rPr>
          <w:rFonts w:ascii="Times New Roman" w:hAnsi="Times New Roman"/>
          <w:sz w:val="24"/>
          <w:szCs w:val="24"/>
        </w:rPr>
        <w:t>ом</w:t>
      </w:r>
      <w:r w:rsidRPr="00061CC6">
        <w:rPr>
          <w:rFonts w:ascii="Times New Roman" w:hAnsi="Times New Roman"/>
          <w:sz w:val="24"/>
          <w:szCs w:val="24"/>
        </w:rPr>
        <w:t xml:space="preserve"> 5.10 Настанови</w:t>
      </w:r>
      <w:r>
        <w:rPr>
          <w:rFonts w:ascii="Times New Roman" w:hAnsi="Times New Roman"/>
          <w:sz w:val="24"/>
          <w:szCs w:val="24"/>
        </w:rPr>
        <w:t>.</w:t>
      </w:r>
    </w:p>
    <w:p w14:paraId="25808B99" w14:textId="77777777" w:rsidR="009C5A73" w:rsidRDefault="009C5A73" w:rsidP="00F8060D">
      <w:pPr>
        <w:tabs>
          <w:tab w:val="left" w:pos="10206"/>
        </w:tabs>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Отже, оскільки відсутні невідповідності вимогам Документації та </w:t>
      </w:r>
      <w:r w:rsidRPr="00061CC6">
        <w:rPr>
          <w:rFonts w:ascii="Times New Roman" w:hAnsi="Times New Roman"/>
          <w:sz w:val="24"/>
          <w:szCs w:val="24"/>
        </w:rPr>
        <w:t>пункту 5.10 Настанови</w:t>
      </w:r>
      <w:r>
        <w:rPr>
          <w:rFonts w:ascii="Times New Roman" w:hAnsi="Times New Roman"/>
          <w:sz w:val="24"/>
          <w:szCs w:val="24"/>
        </w:rPr>
        <w:t>, відсутні підстави для відхилення.</w:t>
      </w:r>
    </w:p>
    <w:p w14:paraId="4F782A9F" w14:textId="77777777" w:rsidR="009C5A73" w:rsidRPr="00061CC6" w:rsidRDefault="009C5A73" w:rsidP="00F8060D">
      <w:pPr>
        <w:tabs>
          <w:tab w:val="left" w:pos="10206"/>
        </w:tabs>
        <w:spacing w:after="0" w:line="240" w:lineRule="auto"/>
        <w:ind w:right="-1" w:firstLine="708"/>
        <w:jc w:val="both"/>
        <w:rPr>
          <w:rFonts w:ascii="Times New Roman" w:hAnsi="Times New Roman"/>
          <w:sz w:val="24"/>
          <w:szCs w:val="24"/>
        </w:rPr>
      </w:pPr>
    </w:p>
    <w:p w14:paraId="5007FEE3" w14:textId="77777777" w:rsidR="009C5A73" w:rsidRPr="00061CC6" w:rsidRDefault="009C5A73" w:rsidP="00F8060D">
      <w:pPr>
        <w:tabs>
          <w:tab w:val="left" w:pos="10206"/>
        </w:tabs>
        <w:spacing w:after="0" w:line="240" w:lineRule="auto"/>
        <w:ind w:right="-1"/>
        <w:jc w:val="both"/>
        <w:rPr>
          <w:rFonts w:ascii="Times New Roman" w:hAnsi="Times New Roman"/>
          <w:b/>
          <w:i/>
          <w:sz w:val="24"/>
          <w:szCs w:val="24"/>
        </w:rPr>
      </w:pPr>
      <w:r w:rsidRPr="00061CC6">
        <w:rPr>
          <w:rFonts w:ascii="Times New Roman" w:hAnsi="Times New Roman"/>
          <w:b/>
          <w:i/>
          <w:sz w:val="24"/>
          <w:szCs w:val="24"/>
        </w:rPr>
        <w:t>4. Щодо еквіваленту</w:t>
      </w:r>
    </w:p>
    <w:p w14:paraId="5DCA1E3C" w14:textId="77777777" w:rsidR="009C5A73" w:rsidRPr="00061CC6" w:rsidRDefault="009C5A73" w:rsidP="00F8060D">
      <w:pPr>
        <w:tabs>
          <w:tab w:val="left" w:pos="10206"/>
        </w:tabs>
        <w:spacing w:after="0" w:line="240" w:lineRule="auto"/>
        <w:ind w:right="-1" w:firstLine="708"/>
        <w:jc w:val="both"/>
        <w:rPr>
          <w:rFonts w:ascii="Times New Roman" w:hAnsi="Times New Roman"/>
          <w:sz w:val="24"/>
          <w:szCs w:val="24"/>
        </w:rPr>
      </w:pPr>
    </w:p>
    <w:p w14:paraId="2DF6C07C" w14:textId="77777777" w:rsidR="009C5A73" w:rsidRPr="005D6289" w:rsidRDefault="009C5A73" w:rsidP="00F8060D">
      <w:pPr>
        <w:tabs>
          <w:tab w:val="left" w:pos="10206"/>
        </w:tabs>
        <w:spacing w:after="0" w:line="240" w:lineRule="auto"/>
        <w:ind w:right="-1" w:firstLine="708"/>
        <w:jc w:val="both"/>
        <w:rPr>
          <w:rFonts w:ascii="Times New Roman" w:hAnsi="Times New Roman"/>
          <w:i/>
          <w:iCs/>
          <w:sz w:val="24"/>
          <w:szCs w:val="24"/>
        </w:rPr>
      </w:pPr>
      <w:r w:rsidRPr="00061CC6">
        <w:rPr>
          <w:rFonts w:ascii="Times New Roman" w:hAnsi="Times New Roman"/>
          <w:sz w:val="24"/>
          <w:szCs w:val="24"/>
        </w:rPr>
        <w:t xml:space="preserve">Відповідно до вимог пункту 3 частини 1.1 додатку 1 до тендерної документації </w:t>
      </w:r>
      <w:r w:rsidRPr="005D6289">
        <w:rPr>
          <w:rFonts w:ascii="Times New Roman" w:hAnsi="Times New Roman"/>
          <w:i/>
          <w:iCs/>
          <w:sz w:val="24"/>
          <w:szCs w:val="24"/>
        </w:rPr>
        <w:t>для підтвердження відповідності тендерної пропозиції технічним, якісним, кількісним та іншим вимогам Замовника, учасник у складі тендерної пропозиції повинен надати:</w:t>
      </w:r>
    </w:p>
    <w:p w14:paraId="6E4322F8" w14:textId="77777777" w:rsidR="009C5A73" w:rsidRPr="005D6289" w:rsidRDefault="009C5A73" w:rsidP="00F8060D">
      <w:pPr>
        <w:tabs>
          <w:tab w:val="left" w:pos="10206"/>
        </w:tabs>
        <w:spacing w:after="0" w:line="240" w:lineRule="auto"/>
        <w:ind w:right="-1" w:firstLine="708"/>
        <w:jc w:val="both"/>
        <w:rPr>
          <w:rFonts w:ascii="Times New Roman" w:hAnsi="Times New Roman"/>
          <w:i/>
          <w:iCs/>
          <w:sz w:val="24"/>
          <w:szCs w:val="24"/>
        </w:rPr>
      </w:pPr>
      <w:r w:rsidRPr="005D6289">
        <w:rPr>
          <w:rFonts w:ascii="Times New Roman" w:hAnsi="Times New Roman"/>
          <w:i/>
          <w:iCs/>
          <w:sz w:val="24"/>
          <w:szCs w:val="24"/>
        </w:rPr>
        <w:t xml:space="preserve">- Розрахунки договірної ціни*, розроблені в ліцензійному програмному комплексі АВК-5 або іншому сумісному з ним ліцензійному програмному комплексі (на підтвердження надати діючу ліцензію на програмний комплекс, в якому здійснено надані учасником розрахунки договірної ціни) </w:t>
      </w:r>
      <w:r w:rsidRPr="004E51E3">
        <w:rPr>
          <w:rFonts w:ascii="Times New Roman" w:hAnsi="Times New Roman"/>
          <w:bCs/>
          <w:i/>
          <w:iCs/>
          <w:sz w:val="24"/>
          <w:szCs w:val="24"/>
        </w:rPr>
        <w:t xml:space="preserve">у відповідності до Кошторисних норм України, затверджених наказом Міністерства розвитку громад та територій України від 01.11.2021р. №281, у відповідності до визначення вартості об’єкта будівництва при складанні ціни пропозиції учасника процедури закупівлі (договірної ціни), </w:t>
      </w:r>
      <w:r w:rsidRPr="005D6289">
        <w:rPr>
          <w:rFonts w:ascii="Times New Roman" w:hAnsi="Times New Roman"/>
          <w:i/>
          <w:iCs/>
          <w:sz w:val="24"/>
          <w:szCs w:val="24"/>
        </w:rPr>
        <w:t>до складу якого входять:</w:t>
      </w:r>
    </w:p>
    <w:p w14:paraId="20A180B4" w14:textId="77777777" w:rsidR="009C5A73" w:rsidRPr="005D6289" w:rsidRDefault="009C5A73" w:rsidP="00F8060D">
      <w:pPr>
        <w:tabs>
          <w:tab w:val="left" w:pos="10206"/>
        </w:tabs>
        <w:spacing w:after="0" w:line="240" w:lineRule="auto"/>
        <w:ind w:right="-1" w:firstLine="708"/>
        <w:jc w:val="both"/>
        <w:rPr>
          <w:rFonts w:ascii="Times New Roman" w:hAnsi="Times New Roman"/>
          <w:i/>
          <w:iCs/>
          <w:sz w:val="24"/>
          <w:szCs w:val="24"/>
        </w:rPr>
      </w:pPr>
      <w:r w:rsidRPr="005D6289">
        <w:rPr>
          <w:rFonts w:ascii="Times New Roman" w:hAnsi="Times New Roman"/>
          <w:i/>
          <w:iCs/>
          <w:sz w:val="24"/>
          <w:szCs w:val="24"/>
        </w:rPr>
        <w:t>-  договірна ціна з пояснювальною запискою до неї (договірна ціна учасника встановлюється твердою та повинна відповідати ціні тендерної пропозиції учасника);</w:t>
      </w:r>
    </w:p>
    <w:p w14:paraId="6ED32F90" w14:textId="77777777" w:rsidR="009C5A73" w:rsidRPr="005D6289" w:rsidRDefault="009C5A73" w:rsidP="00F8060D">
      <w:pPr>
        <w:tabs>
          <w:tab w:val="left" w:pos="10206"/>
        </w:tabs>
        <w:spacing w:after="0" w:line="240" w:lineRule="auto"/>
        <w:ind w:right="-1" w:firstLine="708"/>
        <w:jc w:val="both"/>
        <w:rPr>
          <w:rFonts w:ascii="Times New Roman" w:hAnsi="Times New Roman"/>
          <w:i/>
          <w:iCs/>
          <w:sz w:val="24"/>
          <w:szCs w:val="24"/>
        </w:rPr>
      </w:pPr>
      <w:r w:rsidRPr="005D6289">
        <w:rPr>
          <w:rFonts w:ascii="Times New Roman" w:hAnsi="Times New Roman"/>
          <w:i/>
          <w:iCs/>
          <w:sz w:val="24"/>
          <w:szCs w:val="24"/>
        </w:rPr>
        <w:t>- локальний кошторис (складений у відповідності до технічного завдання замовника (перелік та обсяг робіт повинні відповідати технічному завданню (Додаток 4 (4.1.) – Дефектний акт);</w:t>
      </w:r>
    </w:p>
    <w:p w14:paraId="36D48DAA" w14:textId="77777777" w:rsidR="009C5A73" w:rsidRPr="005D6289" w:rsidRDefault="009C5A73" w:rsidP="00F8060D">
      <w:pPr>
        <w:tabs>
          <w:tab w:val="left" w:pos="10206"/>
        </w:tabs>
        <w:spacing w:after="0" w:line="240" w:lineRule="auto"/>
        <w:ind w:right="-1" w:firstLine="708"/>
        <w:jc w:val="both"/>
        <w:rPr>
          <w:rFonts w:ascii="Times New Roman" w:hAnsi="Times New Roman"/>
          <w:i/>
          <w:iCs/>
          <w:sz w:val="24"/>
          <w:szCs w:val="24"/>
        </w:rPr>
      </w:pPr>
      <w:r w:rsidRPr="003E45AF">
        <w:rPr>
          <w:rFonts w:ascii="Times New Roman" w:hAnsi="Times New Roman"/>
          <w:b/>
          <w:bCs/>
          <w:i/>
          <w:iCs/>
          <w:sz w:val="24"/>
          <w:szCs w:val="24"/>
        </w:rPr>
        <w:t xml:space="preserve">-   </w:t>
      </w:r>
      <w:bookmarkStart w:id="2" w:name="_Hlk213152317"/>
      <w:r w:rsidRPr="004E51E3">
        <w:rPr>
          <w:rFonts w:ascii="Times New Roman" w:hAnsi="Times New Roman"/>
          <w:i/>
          <w:iCs/>
          <w:sz w:val="24"/>
          <w:szCs w:val="24"/>
        </w:rPr>
        <w:t>підсумкова відомість ресурсів</w:t>
      </w:r>
      <w:r w:rsidRPr="003E45AF">
        <w:rPr>
          <w:rFonts w:ascii="Times New Roman" w:hAnsi="Times New Roman"/>
          <w:b/>
          <w:bCs/>
          <w:i/>
          <w:iCs/>
          <w:sz w:val="24"/>
          <w:szCs w:val="24"/>
        </w:rPr>
        <w:t xml:space="preserve"> (складена у відповідності до технічного завдання замовника (Додаток 4 (4.2.) – Відомість ресурсів).</w:t>
      </w:r>
      <w:r w:rsidRPr="005D6289">
        <w:rPr>
          <w:rFonts w:ascii="Times New Roman" w:hAnsi="Times New Roman"/>
          <w:i/>
          <w:iCs/>
          <w:sz w:val="24"/>
          <w:szCs w:val="24"/>
        </w:rPr>
        <w:t xml:space="preserve"> Учасник у Підсумковій відомості ресурсів зазначає, в тому числі, показники в частині «</w:t>
      </w:r>
      <w:proofErr w:type="spellStart"/>
      <w:r w:rsidRPr="005D6289">
        <w:rPr>
          <w:rFonts w:ascii="Times New Roman" w:hAnsi="Times New Roman"/>
          <w:i/>
          <w:iCs/>
          <w:sz w:val="24"/>
          <w:szCs w:val="24"/>
        </w:rPr>
        <w:t>Енергоносiї</w:t>
      </w:r>
      <w:proofErr w:type="spellEnd"/>
      <w:r w:rsidRPr="005D6289">
        <w:rPr>
          <w:rFonts w:ascii="Times New Roman" w:hAnsi="Times New Roman"/>
          <w:i/>
          <w:iCs/>
          <w:sz w:val="24"/>
          <w:szCs w:val="24"/>
        </w:rPr>
        <w:t xml:space="preserve"> машин, врахованих в </w:t>
      </w:r>
      <w:proofErr w:type="spellStart"/>
      <w:r w:rsidRPr="005D6289">
        <w:rPr>
          <w:rFonts w:ascii="Times New Roman" w:hAnsi="Times New Roman"/>
          <w:i/>
          <w:iCs/>
          <w:sz w:val="24"/>
          <w:szCs w:val="24"/>
        </w:rPr>
        <w:t>складi</w:t>
      </w:r>
      <w:proofErr w:type="spellEnd"/>
      <w:r w:rsidRPr="005D6289">
        <w:rPr>
          <w:rFonts w:ascii="Times New Roman" w:hAnsi="Times New Roman"/>
          <w:i/>
          <w:iCs/>
          <w:sz w:val="24"/>
          <w:szCs w:val="24"/>
        </w:rPr>
        <w:t xml:space="preserve"> загальновиробничих витрат»</w:t>
      </w:r>
    </w:p>
    <w:p w14:paraId="134B9165" w14:textId="77777777" w:rsidR="009C5A73" w:rsidRPr="004E51E3" w:rsidRDefault="009C5A73" w:rsidP="00F8060D">
      <w:pPr>
        <w:tabs>
          <w:tab w:val="left" w:pos="10206"/>
        </w:tabs>
        <w:spacing w:after="0" w:line="240" w:lineRule="auto"/>
        <w:ind w:right="-1" w:firstLine="708"/>
        <w:jc w:val="both"/>
        <w:rPr>
          <w:rFonts w:ascii="Times New Roman" w:hAnsi="Times New Roman"/>
          <w:b/>
          <w:bCs/>
          <w:sz w:val="24"/>
          <w:szCs w:val="24"/>
        </w:rPr>
      </w:pPr>
      <w:r w:rsidRPr="004E51E3">
        <w:rPr>
          <w:rFonts w:ascii="Times New Roman" w:hAnsi="Times New Roman"/>
          <w:b/>
          <w:bCs/>
          <w:i/>
          <w:iCs/>
          <w:sz w:val="24"/>
          <w:szCs w:val="24"/>
        </w:rPr>
        <w:t>У випадку надання розрахунків</w:t>
      </w:r>
      <w:r w:rsidRPr="005D6289">
        <w:rPr>
          <w:rFonts w:ascii="Times New Roman" w:hAnsi="Times New Roman"/>
          <w:i/>
          <w:iCs/>
          <w:sz w:val="24"/>
          <w:szCs w:val="24"/>
        </w:rPr>
        <w:t xml:space="preserve"> не у повному обсязі чи </w:t>
      </w:r>
      <w:r w:rsidRPr="004E51E3">
        <w:rPr>
          <w:rFonts w:ascii="Times New Roman" w:hAnsi="Times New Roman"/>
          <w:b/>
          <w:bCs/>
          <w:i/>
          <w:iCs/>
          <w:sz w:val="24"/>
          <w:szCs w:val="24"/>
        </w:rPr>
        <w:t>таких, що не відповідають технічному завданню (Додаток 4 (4.1 та 4.2)), тендерна пропозиція учасника буде відхилена як така, що не відповідає умовам технічної специфікації та іншим вимогам щодо предмета закупівлі тендерної документації</w:t>
      </w:r>
      <w:r w:rsidRPr="004E51E3">
        <w:rPr>
          <w:rFonts w:ascii="Times New Roman" w:hAnsi="Times New Roman"/>
          <w:b/>
          <w:bCs/>
          <w:sz w:val="24"/>
          <w:szCs w:val="24"/>
        </w:rPr>
        <w:t>.</w:t>
      </w:r>
    </w:p>
    <w:bookmarkEnd w:id="2"/>
    <w:p w14:paraId="551592FA" w14:textId="77777777" w:rsidR="009C5A73" w:rsidRDefault="009C5A73" w:rsidP="00F8060D">
      <w:pPr>
        <w:tabs>
          <w:tab w:val="left" w:pos="10206"/>
        </w:tabs>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 xml:space="preserve">Примітками під зазначеною частиною цього додатку передбачено, що </w:t>
      </w:r>
      <w:r w:rsidRPr="00E012D8">
        <w:rPr>
          <w:rFonts w:ascii="Times New Roman" w:hAnsi="Times New Roman"/>
          <w:i/>
          <w:iCs/>
          <w:sz w:val="24"/>
          <w:szCs w:val="24"/>
        </w:rPr>
        <w:t xml:space="preserve">*Будь-які посилання в технічних, якісних та кількісних характеристиках на технічні регламенти та умови,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повністю відповідати вказаному замовником товару та виконувати призначення, визначене технічною документацією. У випадку якщо Учасник пропонує «еквівалент» в розумінні вимог цієї тендерної документації, то у Підсумковій відомості ресурсів зазначається саме </w:t>
      </w:r>
      <w:r w:rsidRPr="00E012D8">
        <w:rPr>
          <w:rFonts w:ascii="Times New Roman" w:hAnsi="Times New Roman"/>
          <w:i/>
          <w:iCs/>
          <w:sz w:val="24"/>
          <w:szCs w:val="24"/>
        </w:rPr>
        <w:lastRenderedPageBreak/>
        <w:t>запропонований «еквівалент», та додатково надається порівняльна таблиця, в якій відображена відповідність між «еквівалентом» та технічним завданням Замовника.</w:t>
      </w:r>
    </w:p>
    <w:p w14:paraId="37B45F02" w14:textId="77777777" w:rsidR="009C5A73" w:rsidRPr="00061CC6" w:rsidRDefault="009C5A73" w:rsidP="00F8060D">
      <w:pPr>
        <w:tabs>
          <w:tab w:val="left" w:pos="10206"/>
        </w:tabs>
        <w:spacing w:after="0" w:line="240" w:lineRule="auto"/>
        <w:ind w:right="-1" w:firstLine="708"/>
        <w:jc w:val="both"/>
        <w:rPr>
          <w:rFonts w:ascii="Times New Roman" w:hAnsi="Times New Roman"/>
          <w:sz w:val="24"/>
          <w:szCs w:val="24"/>
        </w:rPr>
      </w:pPr>
      <w:r w:rsidRPr="00061CC6">
        <w:rPr>
          <w:rFonts w:ascii="Times New Roman" w:hAnsi="Times New Roman"/>
          <w:sz w:val="24"/>
          <w:szCs w:val="24"/>
        </w:rPr>
        <w:t>Пунктом 61 додатку 4 до тендерної документації Відомості ресурсів (додаток 4 (4.2.) – Відомість ресурсів) передбачено</w:t>
      </w:r>
      <w:r>
        <w:rPr>
          <w:rFonts w:ascii="Times New Roman" w:hAnsi="Times New Roman"/>
          <w:sz w:val="24"/>
          <w:szCs w:val="24"/>
        </w:rPr>
        <w:t xml:space="preserve"> ресурс</w:t>
      </w:r>
      <w:r w:rsidRPr="00061CC6">
        <w:rPr>
          <w:rFonts w:ascii="Times New Roman" w:hAnsi="Times New Roman"/>
          <w:sz w:val="24"/>
          <w:szCs w:val="24"/>
        </w:rPr>
        <w:t xml:space="preserve"> «</w:t>
      </w:r>
      <w:r w:rsidRPr="00E012D8">
        <w:rPr>
          <w:rFonts w:ascii="Times New Roman" w:hAnsi="Times New Roman"/>
          <w:b/>
          <w:bCs/>
          <w:i/>
          <w:iCs/>
          <w:sz w:val="24"/>
          <w:szCs w:val="24"/>
        </w:rPr>
        <w:t xml:space="preserve">Вуличний світильник </w:t>
      </w:r>
      <w:proofErr w:type="spellStart"/>
      <w:r w:rsidRPr="00E012D8">
        <w:rPr>
          <w:rFonts w:ascii="Times New Roman" w:hAnsi="Times New Roman"/>
          <w:b/>
          <w:bCs/>
          <w:i/>
          <w:iCs/>
          <w:sz w:val="24"/>
          <w:szCs w:val="24"/>
        </w:rPr>
        <w:t>Goldlux</w:t>
      </w:r>
      <w:proofErr w:type="spellEnd"/>
      <w:r w:rsidRPr="00E012D8">
        <w:rPr>
          <w:rFonts w:ascii="Times New Roman" w:hAnsi="Times New Roman"/>
          <w:b/>
          <w:bCs/>
          <w:i/>
          <w:iCs/>
          <w:sz w:val="24"/>
          <w:szCs w:val="24"/>
        </w:rPr>
        <w:t xml:space="preserve"> 318572 </w:t>
      </w:r>
      <w:proofErr w:type="spellStart"/>
      <w:r w:rsidRPr="00E012D8">
        <w:rPr>
          <w:rFonts w:ascii="Times New Roman" w:hAnsi="Times New Roman"/>
          <w:b/>
          <w:bCs/>
          <w:i/>
          <w:iCs/>
          <w:sz w:val="24"/>
          <w:szCs w:val="24"/>
        </w:rPr>
        <w:t>Kioto</w:t>
      </w:r>
      <w:proofErr w:type="spellEnd"/>
      <w:r w:rsidRPr="00E012D8">
        <w:rPr>
          <w:rFonts w:ascii="Times New Roman" w:hAnsi="Times New Roman"/>
          <w:b/>
          <w:bCs/>
          <w:i/>
          <w:iCs/>
          <w:sz w:val="24"/>
          <w:szCs w:val="24"/>
        </w:rPr>
        <w:t xml:space="preserve"> G9 1x5W IP44 або аналог</w:t>
      </w:r>
      <w:r w:rsidRPr="00E012D8">
        <w:rPr>
          <w:rFonts w:ascii="Times New Roman" w:hAnsi="Times New Roman"/>
          <w:sz w:val="24"/>
          <w:szCs w:val="24"/>
        </w:rPr>
        <w:t>».</w:t>
      </w:r>
    </w:p>
    <w:p w14:paraId="1DAD8F91" w14:textId="77777777" w:rsidR="009C5A73" w:rsidRDefault="009C5A73" w:rsidP="00F8060D">
      <w:pPr>
        <w:tabs>
          <w:tab w:val="left" w:pos="10206"/>
        </w:tabs>
        <w:spacing w:after="0" w:line="240" w:lineRule="auto"/>
        <w:ind w:right="-1" w:firstLine="708"/>
        <w:jc w:val="both"/>
        <w:rPr>
          <w:rFonts w:ascii="Times New Roman" w:hAnsi="Times New Roman"/>
          <w:sz w:val="24"/>
          <w:szCs w:val="24"/>
        </w:rPr>
      </w:pPr>
    </w:p>
    <w:p w14:paraId="26697E3A" w14:textId="77777777" w:rsidR="009C5A73" w:rsidRDefault="009C5A73" w:rsidP="00F8060D">
      <w:pPr>
        <w:tabs>
          <w:tab w:val="left" w:pos="10206"/>
        </w:tabs>
        <w:spacing w:after="0" w:line="240" w:lineRule="auto"/>
        <w:ind w:right="-1" w:firstLine="708"/>
        <w:jc w:val="both"/>
        <w:rPr>
          <w:rFonts w:ascii="Times New Roman" w:hAnsi="Times New Roman"/>
          <w:bCs/>
          <w:sz w:val="24"/>
          <w:szCs w:val="24"/>
        </w:rPr>
      </w:pPr>
      <w:r w:rsidRPr="003A0846">
        <w:rPr>
          <w:rFonts w:ascii="Times New Roman" w:hAnsi="Times New Roman"/>
          <w:bCs/>
          <w:sz w:val="24"/>
          <w:szCs w:val="24"/>
        </w:rPr>
        <w:t>У підсумковій відомості ресурсів Перемож</w:t>
      </w:r>
      <w:r>
        <w:rPr>
          <w:rFonts w:ascii="Times New Roman" w:hAnsi="Times New Roman"/>
          <w:bCs/>
          <w:sz w:val="24"/>
          <w:szCs w:val="24"/>
        </w:rPr>
        <w:t>ця</w:t>
      </w:r>
      <w:r w:rsidRPr="003A0846">
        <w:rPr>
          <w:rFonts w:ascii="Times New Roman" w:hAnsi="Times New Roman"/>
          <w:bCs/>
          <w:sz w:val="24"/>
          <w:szCs w:val="24"/>
        </w:rPr>
        <w:t xml:space="preserve"> по позиці</w:t>
      </w:r>
      <w:r>
        <w:rPr>
          <w:rFonts w:ascii="Times New Roman" w:hAnsi="Times New Roman"/>
          <w:bCs/>
          <w:sz w:val="24"/>
          <w:szCs w:val="24"/>
        </w:rPr>
        <w:t>ї</w:t>
      </w:r>
      <w:r w:rsidRPr="003A0846">
        <w:rPr>
          <w:rFonts w:ascii="Times New Roman" w:hAnsi="Times New Roman"/>
          <w:bCs/>
          <w:sz w:val="24"/>
          <w:szCs w:val="24"/>
        </w:rPr>
        <w:t xml:space="preserve"> № 61</w:t>
      </w:r>
      <w:r>
        <w:rPr>
          <w:rFonts w:ascii="Times New Roman" w:hAnsi="Times New Roman"/>
          <w:bCs/>
          <w:sz w:val="24"/>
          <w:szCs w:val="24"/>
        </w:rPr>
        <w:t xml:space="preserve"> зазначено:</w:t>
      </w:r>
    </w:p>
    <w:p w14:paraId="381C34AA" w14:textId="77777777" w:rsidR="009C5A73" w:rsidRDefault="009C5A73" w:rsidP="009C5A73">
      <w:pPr>
        <w:spacing w:after="0" w:line="240" w:lineRule="auto"/>
        <w:ind w:left="426" w:right="281"/>
        <w:jc w:val="both"/>
        <w:rPr>
          <w:rFonts w:ascii="Times New Roman" w:hAnsi="Times New Roman"/>
          <w:bCs/>
          <w:sz w:val="24"/>
          <w:szCs w:val="24"/>
        </w:rPr>
      </w:pPr>
    </w:p>
    <w:p w14:paraId="2D1D1D13" w14:textId="1E4B51FB" w:rsidR="009C5A73" w:rsidRDefault="009C5A73" w:rsidP="009C5A73">
      <w:pPr>
        <w:spacing w:after="0" w:line="240" w:lineRule="auto"/>
        <w:ind w:left="426" w:right="281"/>
        <w:jc w:val="both"/>
        <w:rPr>
          <w:rFonts w:ascii="Times New Roman" w:hAnsi="Times New Roman"/>
          <w:sz w:val="24"/>
          <w:szCs w:val="24"/>
        </w:rPr>
      </w:pPr>
      <w:r w:rsidRPr="00812A4A">
        <w:rPr>
          <w:rFonts w:ascii="Times New Roman" w:hAnsi="Times New Roman"/>
          <w:noProof/>
          <w:sz w:val="24"/>
          <w:szCs w:val="24"/>
        </w:rPr>
        <w:drawing>
          <wp:inline distT="0" distB="0" distL="0" distR="0" wp14:anchorId="553810E4" wp14:editId="27C06AAB">
            <wp:extent cx="6673717" cy="347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397" cy="349319"/>
                    </a:xfrm>
                    <a:prstGeom prst="rect">
                      <a:avLst/>
                    </a:prstGeom>
                    <a:noFill/>
                    <a:ln>
                      <a:noFill/>
                    </a:ln>
                  </pic:spPr>
                </pic:pic>
              </a:graphicData>
            </a:graphic>
          </wp:inline>
        </w:drawing>
      </w:r>
    </w:p>
    <w:p w14:paraId="50F12809" w14:textId="77777777" w:rsidR="009C5A73" w:rsidRDefault="009C5A73" w:rsidP="009C5A73">
      <w:pPr>
        <w:spacing w:after="0" w:line="240" w:lineRule="auto"/>
        <w:ind w:left="426" w:right="281" w:firstLine="708"/>
        <w:jc w:val="both"/>
        <w:rPr>
          <w:rFonts w:ascii="Times New Roman" w:hAnsi="Times New Roman"/>
          <w:sz w:val="24"/>
          <w:szCs w:val="24"/>
        </w:rPr>
      </w:pPr>
    </w:p>
    <w:p w14:paraId="4E99BBB5" w14:textId="77777777" w:rsidR="009C5A73" w:rsidRDefault="009C5A73" w:rsidP="00F8060D">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Таким чином, надана Переможцем (як учасником) </w:t>
      </w:r>
      <w:r w:rsidRPr="004E51E3">
        <w:rPr>
          <w:rFonts w:ascii="Times New Roman" w:hAnsi="Times New Roman"/>
          <w:sz w:val="24"/>
          <w:szCs w:val="24"/>
        </w:rPr>
        <w:t>підсумкова відомість ресурсів складена у відповідності до технічного завдання замовника (Додаток 4 (4.2.) – Відомість ресурсів)</w:t>
      </w:r>
      <w:r>
        <w:rPr>
          <w:rFonts w:ascii="Times New Roman" w:hAnsi="Times New Roman"/>
          <w:sz w:val="24"/>
          <w:szCs w:val="24"/>
        </w:rPr>
        <w:t xml:space="preserve">, оскільки її позиція 61 </w:t>
      </w:r>
      <w:r w:rsidRPr="004E51E3">
        <w:rPr>
          <w:rFonts w:ascii="Times New Roman" w:hAnsi="Times New Roman"/>
          <w:sz w:val="24"/>
          <w:szCs w:val="24"/>
        </w:rPr>
        <w:t xml:space="preserve">«Вуличний світильник </w:t>
      </w:r>
      <w:proofErr w:type="spellStart"/>
      <w:r w:rsidRPr="004E51E3">
        <w:rPr>
          <w:rFonts w:ascii="Times New Roman" w:hAnsi="Times New Roman"/>
          <w:sz w:val="24"/>
          <w:szCs w:val="24"/>
        </w:rPr>
        <w:t>Goldlux</w:t>
      </w:r>
      <w:proofErr w:type="spellEnd"/>
      <w:r w:rsidRPr="004E51E3">
        <w:rPr>
          <w:rFonts w:ascii="Times New Roman" w:hAnsi="Times New Roman"/>
          <w:sz w:val="24"/>
          <w:szCs w:val="24"/>
        </w:rPr>
        <w:t xml:space="preserve"> 318572 </w:t>
      </w:r>
      <w:proofErr w:type="spellStart"/>
      <w:r w:rsidRPr="004E51E3">
        <w:rPr>
          <w:rFonts w:ascii="Times New Roman" w:hAnsi="Times New Roman"/>
          <w:sz w:val="24"/>
          <w:szCs w:val="24"/>
        </w:rPr>
        <w:t>Kioto</w:t>
      </w:r>
      <w:proofErr w:type="spellEnd"/>
      <w:r w:rsidRPr="004E51E3">
        <w:rPr>
          <w:rFonts w:ascii="Times New Roman" w:hAnsi="Times New Roman"/>
          <w:sz w:val="24"/>
          <w:szCs w:val="24"/>
        </w:rPr>
        <w:t xml:space="preserve"> G9 1x5W IP44 або аналог»</w:t>
      </w:r>
      <w:r>
        <w:rPr>
          <w:rFonts w:ascii="Times New Roman" w:hAnsi="Times New Roman"/>
          <w:sz w:val="24"/>
          <w:szCs w:val="24"/>
        </w:rPr>
        <w:t xml:space="preserve"> повністю відповідає позиції 61 </w:t>
      </w:r>
      <w:r w:rsidRPr="004E51E3">
        <w:rPr>
          <w:rFonts w:ascii="Times New Roman" w:hAnsi="Times New Roman"/>
          <w:sz w:val="24"/>
          <w:szCs w:val="24"/>
        </w:rPr>
        <w:t xml:space="preserve">«Вуличний світильник </w:t>
      </w:r>
      <w:proofErr w:type="spellStart"/>
      <w:r w:rsidRPr="004E51E3">
        <w:rPr>
          <w:rFonts w:ascii="Times New Roman" w:hAnsi="Times New Roman"/>
          <w:sz w:val="24"/>
          <w:szCs w:val="24"/>
        </w:rPr>
        <w:t>Goldlux</w:t>
      </w:r>
      <w:proofErr w:type="spellEnd"/>
      <w:r w:rsidRPr="004E51E3">
        <w:rPr>
          <w:rFonts w:ascii="Times New Roman" w:hAnsi="Times New Roman"/>
          <w:sz w:val="24"/>
          <w:szCs w:val="24"/>
        </w:rPr>
        <w:t xml:space="preserve"> 318572 </w:t>
      </w:r>
      <w:proofErr w:type="spellStart"/>
      <w:r w:rsidRPr="004E51E3">
        <w:rPr>
          <w:rFonts w:ascii="Times New Roman" w:hAnsi="Times New Roman"/>
          <w:sz w:val="24"/>
          <w:szCs w:val="24"/>
        </w:rPr>
        <w:t>Kioto</w:t>
      </w:r>
      <w:proofErr w:type="spellEnd"/>
      <w:r w:rsidRPr="004E51E3">
        <w:rPr>
          <w:rFonts w:ascii="Times New Roman" w:hAnsi="Times New Roman"/>
          <w:sz w:val="24"/>
          <w:szCs w:val="24"/>
        </w:rPr>
        <w:t xml:space="preserve"> G9 1x5W IP44 або аналог»</w:t>
      </w:r>
      <w:r>
        <w:rPr>
          <w:rFonts w:ascii="Times New Roman" w:hAnsi="Times New Roman"/>
          <w:sz w:val="24"/>
          <w:szCs w:val="24"/>
        </w:rPr>
        <w:t xml:space="preserve"> </w:t>
      </w:r>
      <w:r w:rsidRPr="004E51E3">
        <w:rPr>
          <w:rFonts w:ascii="Times New Roman" w:hAnsi="Times New Roman"/>
          <w:sz w:val="24"/>
          <w:szCs w:val="24"/>
        </w:rPr>
        <w:t xml:space="preserve">технічного завдання </w:t>
      </w:r>
      <w:r>
        <w:rPr>
          <w:rFonts w:ascii="Times New Roman" w:hAnsi="Times New Roman"/>
          <w:sz w:val="24"/>
          <w:szCs w:val="24"/>
        </w:rPr>
        <w:t xml:space="preserve">Замовника, визначеного </w:t>
      </w:r>
      <w:r w:rsidRPr="004E51E3">
        <w:rPr>
          <w:rFonts w:ascii="Times New Roman" w:hAnsi="Times New Roman"/>
          <w:sz w:val="24"/>
          <w:szCs w:val="24"/>
        </w:rPr>
        <w:t>Додат</w:t>
      </w:r>
      <w:r>
        <w:rPr>
          <w:rFonts w:ascii="Times New Roman" w:hAnsi="Times New Roman"/>
          <w:sz w:val="24"/>
          <w:szCs w:val="24"/>
        </w:rPr>
        <w:t>ком</w:t>
      </w:r>
      <w:r w:rsidRPr="004E51E3">
        <w:rPr>
          <w:rFonts w:ascii="Times New Roman" w:hAnsi="Times New Roman"/>
          <w:sz w:val="24"/>
          <w:szCs w:val="24"/>
        </w:rPr>
        <w:t xml:space="preserve"> 4 (4.2.) – Відомість ресурсів</w:t>
      </w:r>
      <w:r>
        <w:rPr>
          <w:rFonts w:ascii="Times New Roman" w:hAnsi="Times New Roman"/>
          <w:sz w:val="24"/>
          <w:szCs w:val="24"/>
        </w:rPr>
        <w:t>.</w:t>
      </w:r>
    </w:p>
    <w:p w14:paraId="7AC2F1CE" w14:textId="77777777" w:rsidR="009C5A73" w:rsidRDefault="009C5A73" w:rsidP="00F8060D">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Переможець (як учасник) </w:t>
      </w:r>
      <w:r w:rsidRPr="004E51E3">
        <w:rPr>
          <w:rFonts w:ascii="Times New Roman" w:hAnsi="Times New Roman"/>
          <w:sz w:val="24"/>
          <w:szCs w:val="24"/>
        </w:rPr>
        <w:t>нада</w:t>
      </w:r>
      <w:r>
        <w:rPr>
          <w:rFonts w:ascii="Times New Roman" w:hAnsi="Times New Roman"/>
          <w:sz w:val="24"/>
          <w:szCs w:val="24"/>
        </w:rPr>
        <w:t>в</w:t>
      </w:r>
      <w:r w:rsidRPr="004E51E3">
        <w:rPr>
          <w:rFonts w:ascii="Times New Roman" w:hAnsi="Times New Roman"/>
          <w:sz w:val="24"/>
          <w:szCs w:val="24"/>
        </w:rPr>
        <w:t xml:space="preserve"> розрахунк</w:t>
      </w:r>
      <w:r>
        <w:rPr>
          <w:rFonts w:ascii="Times New Roman" w:hAnsi="Times New Roman"/>
          <w:sz w:val="24"/>
          <w:szCs w:val="24"/>
        </w:rPr>
        <w:t>и</w:t>
      </w:r>
      <w:r w:rsidRPr="004E51E3">
        <w:rPr>
          <w:rFonts w:ascii="Times New Roman" w:hAnsi="Times New Roman"/>
          <w:sz w:val="24"/>
          <w:szCs w:val="24"/>
        </w:rPr>
        <w:t xml:space="preserve">, що відповідають технічному завданню (Додаток 4 (4.1 та 4.2)), </w:t>
      </w:r>
      <w:r>
        <w:rPr>
          <w:rFonts w:ascii="Times New Roman" w:hAnsi="Times New Roman"/>
          <w:sz w:val="24"/>
          <w:szCs w:val="24"/>
        </w:rPr>
        <w:t>тому відсутні підстави</w:t>
      </w:r>
      <w:r w:rsidRPr="004E51E3">
        <w:rPr>
          <w:rFonts w:ascii="Times New Roman" w:hAnsi="Times New Roman"/>
          <w:sz w:val="24"/>
          <w:szCs w:val="24"/>
        </w:rPr>
        <w:t xml:space="preserve"> відхилен</w:t>
      </w:r>
      <w:r>
        <w:rPr>
          <w:rFonts w:ascii="Times New Roman" w:hAnsi="Times New Roman"/>
          <w:sz w:val="24"/>
          <w:szCs w:val="24"/>
        </w:rPr>
        <w:t>ня</w:t>
      </w:r>
      <w:r w:rsidRPr="004E51E3">
        <w:rPr>
          <w:rFonts w:ascii="Times New Roman" w:hAnsi="Times New Roman"/>
          <w:sz w:val="24"/>
          <w:szCs w:val="24"/>
        </w:rPr>
        <w:t>.</w:t>
      </w:r>
    </w:p>
    <w:p w14:paraId="23C370FC" w14:textId="77777777" w:rsidR="009C5A73" w:rsidRDefault="009C5A73" w:rsidP="00F8060D">
      <w:pPr>
        <w:spacing w:after="0" w:line="240" w:lineRule="auto"/>
        <w:ind w:right="-1" w:firstLine="708"/>
        <w:jc w:val="both"/>
        <w:rPr>
          <w:rFonts w:ascii="Times New Roman" w:hAnsi="Times New Roman"/>
          <w:sz w:val="24"/>
          <w:szCs w:val="24"/>
        </w:rPr>
      </w:pPr>
      <w:r>
        <w:rPr>
          <w:rFonts w:ascii="Times New Roman" w:hAnsi="Times New Roman"/>
          <w:sz w:val="24"/>
          <w:szCs w:val="24"/>
        </w:rPr>
        <w:t>З</w:t>
      </w:r>
      <w:r w:rsidRPr="00061CC6">
        <w:rPr>
          <w:rFonts w:ascii="Times New Roman" w:hAnsi="Times New Roman"/>
          <w:sz w:val="24"/>
          <w:szCs w:val="24"/>
        </w:rPr>
        <w:t xml:space="preserve">гідно вимог тендерної документації учасники могли запропонувати </w:t>
      </w:r>
      <w:r>
        <w:rPr>
          <w:rFonts w:ascii="Times New Roman" w:hAnsi="Times New Roman"/>
          <w:sz w:val="24"/>
          <w:szCs w:val="24"/>
        </w:rPr>
        <w:t>еквівалент позиції «</w:t>
      </w:r>
      <w:r w:rsidRPr="00061CC6">
        <w:rPr>
          <w:rFonts w:ascii="Times New Roman" w:hAnsi="Times New Roman"/>
          <w:sz w:val="24"/>
          <w:szCs w:val="24"/>
        </w:rPr>
        <w:t xml:space="preserve">Вуличний світильник </w:t>
      </w:r>
      <w:proofErr w:type="spellStart"/>
      <w:r w:rsidRPr="00061CC6">
        <w:rPr>
          <w:rFonts w:ascii="Times New Roman" w:hAnsi="Times New Roman"/>
          <w:sz w:val="24"/>
          <w:szCs w:val="24"/>
        </w:rPr>
        <w:t>Goldlux</w:t>
      </w:r>
      <w:proofErr w:type="spellEnd"/>
      <w:r w:rsidRPr="00061CC6">
        <w:rPr>
          <w:rFonts w:ascii="Times New Roman" w:hAnsi="Times New Roman"/>
          <w:sz w:val="24"/>
          <w:szCs w:val="24"/>
        </w:rPr>
        <w:t xml:space="preserve"> 318572 </w:t>
      </w:r>
      <w:proofErr w:type="spellStart"/>
      <w:r w:rsidRPr="00061CC6">
        <w:rPr>
          <w:rFonts w:ascii="Times New Roman" w:hAnsi="Times New Roman"/>
          <w:sz w:val="24"/>
          <w:szCs w:val="24"/>
        </w:rPr>
        <w:t>Kioto</w:t>
      </w:r>
      <w:proofErr w:type="spellEnd"/>
      <w:r w:rsidRPr="00061CC6">
        <w:rPr>
          <w:rFonts w:ascii="Times New Roman" w:hAnsi="Times New Roman"/>
          <w:sz w:val="24"/>
          <w:szCs w:val="24"/>
        </w:rPr>
        <w:t xml:space="preserve"> G9 1x5W IP44, або аналог</w:t>
      </w:r>
      <w:r>
        <w:rPr>
          <w:rFonts w:ascii="Times New Roman" w:hAnsi="Times New Roman"/>
          <w:sz w:val="24"/>
          <w:szCs w:val="24"/>
        </w:rPr>
        <w:t>», але Переможцем по зазначеній позиції НЕ запропоновано «еквіваленту», оскільки ця позиція повністю відповідає технічному завданню Замовника, та в тендерній пропозиції відсутні документи, які свідчать про пропозицію ним «еквіваленту».</w:t>
      </w:r>
    </w:p>
    <w:p w14:paraId="1BD244D9" w14:textId="77777777" w:rsidR="009C5A73" w:rsidRPr="005A61DD" w:rsidRDefault="009C5A73" w:rsidP="00F8060D">
      <w:pPr>
        <w:spacing w:after="0" w:line="240" w:lineRule="auto"/>
        <w:ind w:right="-1" w:firstLine="708"/>
        <w:jc w:val="both"/>
        <w:rPr>
          <w:rFonts w:ascii="Times New Roman" w:hAnsi="Times New Roman"/>
          <w:b/>
          <w:bCs/>
          <w:sz w:val="24"/>
          <w:szCs w:val="24"/>
        </w:rPr>
      </w:pPr>
      <w:r w:rsidRPr="005A61DD">
        <w:rPr>
          <w:rFonts w:ascii="Times New Roman" w:hAnsi="Times New Roman"/>
          <w:b/>
          <w:bCs/>
          <w:sz w:val="24"/>
          <w:szCs w:val="24"/>
        </w:rPr>
        <w:t>Тендерна документація не містить вимог щодо надання додаткових документів (наприклад, порівняльної таблиці тощо) у разі зазначення «аналогу».</w:t>
      </w:r>
      <w:r>
        <w:rPr>
          <w:rFonts w:ascii="Times New Roman" w:hAnsi="Times New Roman"/>
          <w:sz w:val="24"/>
          <w:szCs w:val="24"/>
        </w:rPr>
        <w:t xml:space="preserve"> </w:t>
      </w:r>
      <w:r w:rsidRPr="005A61DD">
        <w:rPr>
          <w:rFonts w:ascii="Times New Roman" w:hAnsi="Times New Roman"/>
          <w:b/>
          <w:bCs/>
          <w:sz w:val="24"/>
          <w:szCs w:val="24"/>
        </w:rPr>
        <w:t>Вимога щодо надання порівняльної таблиці, в якій відображена відповідність між «еквівалентом» та технічним завданням Замовника, передбачена щодо пропозиції саме «ЕКВІВАЛЕНТУ», а не «АНАЛОГУ».</w:t>
      </w:r>
    </w:p>
    <w:p w14:paraId="6CA7EF61" w14:textId="77777777" w:rsidR="009C5A73" w:rsidRDefault="009C5A73" w:rsidP="00F8060D">
      <w:pPr>
        <w:spacing w:after="0" w:line="240" w:lineRule="auto"/>
        <w:ind w:right="-1" w:firstLine="708"/>
        <w:jc w:val="both"/>
        <w:rPr>
          <w:rFonts w:ascii="Times New Roman" w:hAnsi="Times New Roman"/>
          <w:sz w:val="24"/>
          <w:szCs w:val="24"/>
        </w:rPr>
      </w:pPr>
      <w:r>
        <w:rPr>
          <w:rFonts w:ascii="Times New Roman" w:hAnsi="Times New Roman"/>
          <w:sz w:val="24"/>
          <w:szCs w:val="24"/>
        </w:rPr>
        <w:t xml:space="preserve">Отже, не відповідає дійсності твердження Скаржника про те, що </w:t>
      </w:r>
      <w:r w:rsidRPr="00061CC6">
        <w:rPr>
          <w:rFonts w:ascii="Times New Roman" w:hAnsi="Times New Roman"/>
          <w:sz w:val="24"/>
          <w:szCs w:val="24"/>
        </w:rPr>
        <w:t xml:space="preserve">Переможець не визначив, який саме товар включено до розрахунків, </w:t>
      </w:r>
      <w:r>
        <w:rPr>
          <w:rFonts w:ascii="Times New Roman" w:hAnsi="Times New Roman"/>
          <w:sz w:val="24"/>
          <w:szCs w:val="24"/>
        </w:rPr>
        <w:t xml:space="preserve">та що </w:t>
      </w:r>
      <w:r w:rsidRPr="00061CC6">
        <w:rPr>
          <w:rFonts w:ascii="Times New Roman" w:hAnsi="Times New Roman"/>
          <w:sz w:val="24"/>
          <w:szCs w:val="24"/>
        </w:rPr>
        <w:t xml:space="preserve">Переможець </w:t>
      </w:r>
      <w:r>
        <w:rPr>
          <w:rFonts w:ascii="Times New Roman" w:hAnsi="Times New Roman"/>
          <w:sz w:val="24"/>
          <w:szCs w:val="24"/>
        </w:rPr>
        <w:t xml:space="preserve">мав </w:t>
      </w:r>
      <w:r w:rsidRPr="00061CC6">
        <w:rPr>
          <w:rFonts w:ascii="Times New Roman" w:hAnsi="Times New Roman"/>
          <w:sz w:val="24"/>
          <w:szCs w:val="24"/>
        </w:rPr>
        <w:t>надати порівняльну таблицю, де зазначено відповідність між технічними характеристиками еквівалента і вимогами Замовника</w:t>
      </w:r>
      <w:r>
        <w:rPr>
          <w:rFonts w:ascii="Times New Roman" w:hAnsi="Times New Roman"/>
          <w:sz w:val="24"/>
          <w:szCs w:val="24"/>
        </w:rPr>
        <w:t xml:space="preserve">, що </w:t>
      </w:r>
      <w:r w:rsidRPr="00061CC6">
        <w:rPr>
          <w:rFonts w:ascii="Times New Roman" w:hAnsi="Times New Roman"/>
          <w:sz w:val="24"/>
          <w:szCs w:val="24"/>
        </w:rPr>
        <w:t>підсумкова відомість ресурсів Переможця містить неповні та неконкретні дані, не підтверджує відповідність технічним, якісним, кількісним та іншим вимогам Замовника, встановленим у пункті 3 частини 1.1 додатку 1 до тендерної документації.</w:t>
      </w:r>
    </w:p>
    <w:p w14:paraId="01973F13" w14:textId="77777777" w:rsidR="009C5A73" w:rsidRDefault="009C5A73" w:rsidP="00F8060D">
      <w:pPr>
        <w:spacing w:after="0" w:line="240" w:lineRule="auto"/>
        <w:ind w:right="-1" w:firstLine="708"/>
        <w:jc w:val="both"/>
        <w:rPr>
          <w:rFonts w:ascii="Times New Roman" w:hAnsi="Times New Roman"/>
          <w:sz w:val="24"/>
          <w:szCs w:val="24"/>
        </w:rPr>
      </w:pPr>
    </w:p>
    <w:p w14:paraId="225B5F7F" w14:textId="77777777" w:rsidR="009C5A73" w:rsidRPr="00061CC6" w:rsidRDefault="009C5A73" w:rsidP="00F8060D">
      <w:pPr>
        <w:spacing w:after="0" w:line="240" w:lineRule="auto"/>
        <w:ind w:right="-1" w:firstLine="708"/>
        <w:jc w:val="both"/>
        <w:rPr>
          <w:rFonts w:ascii="Times New Roman" w:hAnsi="Times New Roman"/>
          <w:sz w:val="24"/>
          <w:szCs w:val="24"/>
        </w:rPr>
      </w:pPr>
      <w:r>
        <w:rPr>
          <w:rFonts w:ascii="Times New Roman" w:hAnsi="Times New Roman"/>
          <w:sz w:val="24"/>
          <w:szCs w:val="24"/>
        </w:rPr>
        <w:t>З урахуванням зазначеного просимо відмовити у задоволенні скарги.</w:t>
      </w:r>
    </w:p>
    <w:p w14:paraId="470CFDD9" w14:textId="77777777" w:rsidR="00263B11" w:rsidRDefault="00263B11" w:rsidP="002B19ED">
      <w:pPr>
        <w:spacing w:after="0" w:line="240" w:lineRule="auto"/>
        <w:ind w:firstLine="567"/>
        <w:jc w:val="both"/>
        <w:rPr>
          <w:rFonts w:ascii="Times New Roman" w:hAnsi="Times New Roman" w:cs="Times New Roman"/>
          <w:b/>
          <w:sz w:val="24"/>
          <w:szCs w:val="24"/>
        </w:rPr>
      </w:pPr>
    </w:p>
    <w:p w14:paraId="7E2E0218" w14:textId="461349EE" w:rsidR="00304F08" w:rsidRDefault="00304F08" w:rsidP="00304F08">
      <w:pPr>
        <w:pStyle w:val="a6"/>
        <w:spacing w:after="0" w:line="240" w:lineRule="auto"/>
        <w:ind w:left="0"/>
        <w:jc w:val="both"/>
        <w:rPr>
          <w:rFonts w:ascii="Times New Roman" w:hAnsi="Times New Roman" w:cs="Times New Roman"/>
          <w:sz w:val="24"/>
          <w:szCs w:val="24"/>
        </w:rPr>
      </w:pPr>
    </w:p>
    <w:p w14:paraId="6D0808FF" w14:textId="3EA22AED"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0D30FDEB" w14:textId="77777777" w:rsidR="00494DE7" w:rsidRPr="00494DE7" w:rsidRDefault="00494DE7" w:rsidP="007968B9">
      <w:pPr>
        <w:pStyle w:val="a6"/>
        <w:spacing w:after="0" w:line="240" w:lineRule="auto"/>
        <w:ind w:left="0"/>
        <w:jc w:val="both"/>
        <w:rPr>
          <w:rFonts w:ascii="Times New Roman" w:hAnsi="Times New Roman" w:cs="Times New Roman"/>
          <w:sz w:val="24"/>
          <w:szCs w:val="24"/>
          <w:lang w:val="ru-UA"/>
        </w:rPr>
      </w:pPr>
      <w:bookmarkStart w:id="3" w:name="_GoBack"/>
      <w:bookmarkEnd w:id="3"/>
    </w:p>
    <w:p w14:paraId="1F3F44B9" w14:textId="60EC9408" w:rsidR="00017C9F" w:rsidRPr="00B84E38" w:rsidRDefault="00017C9F" w:rsidP="005A6B87">
      <w:pPr>
        <w:spacing w:after="0" w:line="240" w:lineRule="auto"/>
        <w:rPr>
          <w:rFonts w:ascii="Times New Roman" w:hAnsi="Times New Roman" w:cs="Times New Roman"/>
          <w:sz w:val="24"/>
          <w:szCs w:val="24"/>
        </w:rPr>
      </w:pPr>
    </w:p>
    <w:p w14:paraId="593C2CAC" w14:textId="15DBC50E" w:rsidR="00017C9F" w:rsidRPr="00B84E38" w:rsidRDefault="00017C9F" w:rsidP="00017C9F">
      <w:pPr>
        <w:spacing w:after="0" w:line="240" w:lineRule="auto"/>
        <w:rPr>
          <w:rFonts w:ascii="Times New Roman" w:eastAsia="Times New Roman" w:hAnsi="Times New Roman" w:cs="Times New Roman"/>
          <w:sz w:val="24"/>
          <w:szCs w:val="24"/>
          <w:lang w:eastAsia="ru-RU"/>
        </w:rPr>
      </w:pPr>
      <w:r w:rsidRPr="00B84E38">
        <w:rPr>
          <w:rFonts w:ascii="Times New Roman" w:eastAsia="Times New Roman" w:hAnsi="Times New Roman" w:cs="Times New Roman"/>
          <w:sz w:val="24"/>
          <w:szCs w:val="24"/>
          <w:lang w:eastAsia="ru-RU"/>
        </w:rPr>
        <w:t>Уповноважена особа                                                                                          Олена ЧЕРНІЙ</w:t>
      </w:r>
    </w:p>
    <w:p w14:paraId="748A968D" w14:textId="42C130CB" w:rsidR="00017C9F" w:rsidRPr="00B84E38" w:rsidRDefault="00017C9F" w:rsidP="005A6B87">
      <w:pPr>
        <w:spacing w:after="0" w:line="240" w:lineRule="auto"/>
        <w:rPr>
          <w:rFonts w:ascii="Times New Roman" w:hAnsi="Times New Roman" w:cs="Times New Roman"/>
          <w:sz w:val="24"/>
          <w:szCs w:val="24"/>
        </w:rPr>
      </w:pPr>
    </w:p>
    <w:sectPr w:rsidR="00017C9F" w:rsidRPr="00B84E38" w:rsidSect="009C5A73">
      <w:pgSz w:w="11906" w:h="16838"/>
      <w:pgMar w:top="851" w:right="566" w:bottom="1135"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CYR">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77CE30"/>
    <w:multiLevelType w:val="multilevel"/>
    <w:tmpl w:val="FD77CE3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19147E6"/>
    <w:multiLevelType w:val="hybridMultilevel"/>
    <w:tmpl w:val="0BCA9278"/>
    <w:lvl w:ilvl="0" w:tplc="4B2651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F2FEA"/>
    <w:multiLevelType w:val="hybridMultilevel"/>
    <w:tmpl w:val="5950BC28"/>
    <w:lvl w:ilvl="0" w:tplc="1FB82E5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03156001"/>
    <w:multiLevelType w:val="hybridMultilevel"/>
    <w:tmpl w:val="41664948"/>
    <w:lvl w:ilvl="0" w:tplc="249CC08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16173092"/>
    <w:multiLevelType w:val="hybridMultilevel"/>
    <w:tmpl w:val="AA46CCDE"/>
    <w:lvl w:ilvl="0" w:tplc="A10CCB02">
      <w:start w:val="4"/>
      <w:numFmt w:val="bullet"/>
      <w:lvlText w:val="-"/>
      <w:lvlJc w:val="left"/>
      <w:pPr>
        <w:ind w:left="720" w:hanging="360"/>
      </w:pPr>
      <w:rPr>
        <w:rFonts w:ascii="Times New Roman" w:eastAsiaTheme="minorHAnsi" w:hAnsi="Times New Roman" w:cs="Times New Roman" w:hint="default"/>
        <w:b/>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CF7A74"/>
    <w:multiLevelType w:val="hybridMultilevel"/>
    <w:tmpl w:val="D2BAC26E"/>
    <w:lvl w:ilvl="0" w:tplc="60D2B100">
      <w:start w:val="152"/>
      <w:numFmt w:val="bullet"/>
      <w:lvlText w:val="-"/>
      <w:lvlJc w:val="left"/>
      <w:pPr>
        <w:ind w:left="1069" w:hanging="360"/>
      </w:pPr>
      <w:rPr>
        <w:rFonts w:ascii="Times New Roman" w:eastAsiaTheme="minorHAnsi"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6" w15:restartNumberingAfterBreak="0">
    <w:nsid w:val="20D42B8A"/>
    <w:multiLevelType w:val="hybridMultilevel"/>
    <w:tmpl w:val="D620480E"/>
    <w:lvl w:ilvl="0" w:tplc="B69030FE">
      <w:start w:val="1"/>
      <w:numFmt w:val="bullet"/>
      <w:lvlText w:val="-"/>
      <w:lvlJc w:val="left"/>
      <w:pPr>
        <w:ind w:left="1069" w:hanging="360"/>
      </w:pPr>
      <w:rPr>
        <w:rFonts w:ascii="Times New Roman" w:eastAsia="Calibri" w:hAnsi="Times New Roman" w:cs="Times New Roman" w:hint="default"/>
        <w:color w:val="000000"/>
        <w:sz w:val="24"/>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7" w15:restartNumberingAfterBreak="0">
    <w:nsid w:val="25794B79"/>
    <w:multiLevelType w:val="hybridMultilevel"/>
    <w:tmpl w:val="2D6CCFD2"/>
    <w:lvl w:ilvl="0" w:tplc="7CD806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B085E"/>
    <w:multiLevelType w:val="hybridMultilevel"/>
    <w:tmpl w:val="12E2B7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37A45499"/>
    <w:multiLevelType w:val="hybridMultilevel"/>
    <w:tmpl w:val="8C260C9C"/>
    <w:lvl w:ilvl="0" w:tplc="D0BA1E58">
      <w:start w:val="2"/>
      <w:numFmt w:val="bullet"/>
      <w:lvlText w:val="-"/>
      <w:lvlJc w:val="left"/>
      <w:pPr>
        <w:ind w:left="1494" w:hanging="360"/>
      </w:pPr>
      <w:rPr>
        <w:rFonts w:ascii="Times New Roman" w:eastAsia="Calibr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0" w15:restartNumberingAfterBreak="0">
    <w:nsid w:val="3BA60F46"/>
    <w:multiLevelType w:val="hybridMultilevel"/>
    <w:tmpl w:val="37844DFC"/>
    <w:lvl w:ilvl="0" w:tplc="7F6008C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F543DB0"/>
    <w:multiLevelType w:val="hybridMultilevel"/>
    <w:tmpl w:val="759205BC"/>
    <w:lvl w:ilvl="0" w:tplc="6B588972">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47EA8"/>
    <w:multiLevelType w:val="hybridMultilevel"/>
    <w:tmpl w:val="15248300"/>
    <w:lvl w:ilvl="0" w:tplc="74B6E3DC">
      <w:start w:val="4"/>
      <w:numFmt w:val="bullet"/>
      <w:lvlText w:val="-"/>
      <w:lvlJc w:val="left"/>
      <w:pPr>
        <w:ind w:left="360" w:hanging="360"/>
      </w:pPr>
      <w:rPr>
        <w:rFonts w:ascii="Times New Roman" w:eastAsiaTheme="minorHAnsi" w:hAnsi="Times New Roman" w:cs="Times New Roman" w:hint="default"/>
        <w:b/>
        <w:u w:val="singl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8687A6F"/>
    <w:multiLevelType w:val="hybridMultilevel"/>
    <w:tmpl w:val="2820C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856756"/>
    <w:multiLevelType w:val="hybridMultilevel"/>
    <w:tmpl w:val="A3989F4A"/>
    <w:lvl w:ilvl="0" w:tplc="C76C325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E5A6110"/>
    <w:multiLevelType w:val="hybridMultilevel"/>
    <w:tmpl w:val="6F38591C"/>
    <w:lvl w:ilvl="0" w:tplc="CCA8C1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 w15:restartNumberingAfterBreak="0">
    <w:nsid w:val="734B5827"/>
    <w:multiLevelType w:val="hybridMultilevel"/>
    <w:tmpl w:val="6E320430"/>
    <w:lvl w:ilvl="0" w:tplc="30FA761C">
      <w:start w:val="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7136971"/>
    <w:multiLevelType w:val="hybridMultilevel"/>
    <w:tmpl w:val="7BDC06A2"/>
    <w:lvl w:ilvl="0" w:tplc="036A6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91B6288"/>
    <w:multiLevelType w:val="hybridMultilevel"/>
    <w:tmpl w:val="4DD8C40E"/>
    <w:lvl w:ilvl="0" w:tplc="F9B42CC8">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15"/>
  </w:num>
  <w:num w:numId="5">
    <w:abstractNumId w:val="3"/>
  </w:num>
  <w:num w:numId="6">
    <w:abstractNumId w:val="10"/>
  </w:num>
  <w:num w:numId="7">
    <w:abstractNumId w:val="8"/>
  </w:num>
  <w:num w:numId="8">
    <w:abstractNumId w:val="4"/>
  </w:num>
  <w:num w:numId="9">
    <w:abstractNumId w:val="12"/>
  </w:num>
  <w:num w:numId="10">
    <w:abstractNumId w:val="16"/>
  </w:num>
  <w:num w:numId="11">
    <w:abstractNumId w:val="7"/>
  </w:num>
  <w:num w:numId="12">
    <w:abstractNumId w:val="11"/>
  </w:num>
  <w:num w:numId="13">
    <w:abstractNumId w:val="18"/>
  </w:num>
  <w:num w:numId="14">
    <w:abstractNumId w:val="6"/>
  </w:num>
  <w:num w:numId="15">
    <w:abstractNumId w:val="5"/>
  </w:num>
  <w:num w:numId="16">
    <w:abstractNumId w:val="14"/>
  </w:num>
  <w:num w:numId="17">
    <w:abstractNumId w:val="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F5C"/>
    <w:rsid w:val="00002CCF"/>
    <w:rsid w:val="00017AFA"/>
    <w:rsid w:val="00017C9F"/>
    <w:rsid w:val="0002048B"/>
    <w:rsid w:val="00020FE9"/>
    <w:rsid w:val="00021515"/>
    <w:rsid w:val="000255C8"/>
    <w:rsid w:val="00036F57"/>
    <w:rsid w:val="00045E05"/>
    <w:rsid w:val="000464E1"/>
    <w:rsid w:val="00046FCF"/>
    <w:rsid w:val="000524D1"/>
    <w:rsid w:val="00056B2F"/>
    <w:rsid w:val="000571A1"/>
    <w:rsid w:val="00064B11"/>
    <w:rsid w:val="000676F9"/>
    <w:rsid w:val="00071053"/>
    <w:rsid w:val="0008236D"/>
    <w:rsid w:val="000835AC"/>
    <w:rsid w:val="0008537E"/>
    <w:rsid w:val="00085408"/>
    <w:rsid w:val="00090CE2"/>
    <w:rsid w:val="000944D4"/>
    <w:rsid w:val="000A1334"/>
    <w:rsid w:val="000B6F38"/>
    <w:rsid w:val="000C3D65"/>
    <w:rsid w:val="000C66FB"/>
    <w:rsid w:val="000D5E3A"/>
    <w:rsid w:val="000E4E63"/>
    <w:rsid w:val="000F1E2F"/>
    <w:rsid w:val="000F3B24"/>
    <w:rsid w:val="000F51A8"/>
    <w:rsid w:val="000F639F"/>
    <w:rsid w:val="000F6D36"/>
    <w:rsid w:val="00100AE5"/>
    <w:rsid w:val="00103436"/>
    <w:rsid w:val="00104624"/>
    <w:rsid w:val="0011313B"/>
    <w:rsid w:val="00114F65"/>
    <w:rsid w:val="001249FC"/>
    <w:rsid w:val="001253E1"/>
    <w:rsid w:val="0012558C"/>
    <w:rsid w:val="00126A28"/>
    <w:rsid w:val="001327D3"/>
    <w:rsid w:val="00134F9B"/>
    <w:rsid w:val="0013621F"/>
    <w:rsid w:val="00136477"/>
    <w:rsid w:val="00144956"/>
    <w:rsid w:val="0014598D"/>
    <w:rsid w:val="00146C03"/>
    <w:rsid w:val="00152C6D"/>
    <w:rsid w:val="00153463"/>
    <w:rsid w:val="00154AB0"/>
    <w:rsid w:val="0015649E"/>
    <w:rsid w:val="0015736C"/>
    <w:rsid w:val="00160114"/>
    <w:rsid w:val="00171263"/>
    <w:rsid w:val="00171AD9"/>
    <w:rsid w:val="001724F9"/>
    <w:rsid w:val="001762B3"/>
    <w:rsid w:val="00184381"/>
    <w:rsid w:val="001845CB"/>
    <w:rsid w:val="00186A1F"/>
    <w:rsid w:val="001876F0"/>
    <w:rsid w:val="00190804"/>
    <w:rsid w:val="0019487C"/>
    <w:rsid w:val="001A1766"/>
    <w:rsid w:val="001A6AE5"/>
    <w:rsid w:val="001B0517"/>
    <w:rsid w:val="001B15F6"/>
    <w:rsid w:val="001D0321"/>
    <w:rsid w:val="001D0507"/>
    <w:rsid w:val="001D23AA"/>
    <w:rsid w:val="001D2B2A"/>
    <w:rsid w:val="001E17CB"/>
    <w:rsid w:val="001F0012"/>
    <w:rsid w:val="001F65D7"/>
    <w:rsid w:val="002106C3"/>
    <w:rsid w:val="00211373"/>
    <w:rsid w:val="00212CC0"/>
    <w:rsid w:val="00221BFE"/>
    <w:rsid w:val="00222D45"/>
    <w:rsid w:val="00222E2E"/>
    <w:rsid w:val="002271E3"/>
    <w:rsid w:val="002300D3"/>
    <w:rsid w:val="002310EF"/>
    <w:rsid w:val="0023210C"/>
    <w:rsid w:val="00232187"/>
    <w:rsid w:val="00232EC9"/>
    <w:rsid w:val="00235FCF"/>
    <w:rsid w:val="00243693"/>
    <w:rsid w:val="00246AD1"/>
    <w:rsid w:val="0024772E"/>
    <w:rsid w:val="00252098"/>
    <w:rsid w:val="002528CD"/>
    <w:rsid w:val="002575A5"/>
    <w:rsid w:val="00257A86"/>
    <w:rsid w:val="00257DA7"/>
    <w:rsid w:val="0026160C"/>
    <w:rsid w:val="00263B11"/>
    <w:rsid w:val="00264E18"/>
    <w:rsid w:val="0027035D"/>
    <w:rsid w:val="00271849"/>
    <w:rsid w:val="00280FA6"/>
    <w:rsid w:val="002819D2"/>
    <w:rsid w:val="00281DF1"/>
    <w:rsid w:val="002839B5"/>
    <w:rsid w:val="00293622"/>
    <w:rsid w:val="002A5950"/>
    <w:rsid w:val="002A679D"/>
    <w:rsid w:val="002B19ED"/>
    <w:rsid w:val="002B1E89"/>
    <w:rsid w:val="002B4336"/>
    <w:rsid w:val="002B5E24"/>
    <w:rsid w:val="002C18CE"/>
    <w:rsid w:val="002C1AB3"/>
    <w:rsid w:val="002C45E6"/>
    <w:rsid w:val="002C6BC4"/>
    <w:rsid w:val="002C7E58"/>
    <w:rsid w:val="002D0CC8"/>
    <w:rsid w:val="002D50E9"/>
    <w:rsid w:val="002E1F98"/>
    <w:rsid w:val="002E3EEE"/>
    <w:rsid w:val="002E5F5E"/>
    <w:rsid w:val="00304626"/>
    <w:rsid w:val="00304F08"/>
    <w:rsid w:val="00307A28"/>
    <w:rsid w:val="00307C34"/>
    <w:rsid w:val="00312F6F"/>
    <w:rsid w:val="0032241A"/>
    <w:rsid w:val="0032722E"/>
    <w:rsid w:val="00334A29"/>
    <w:rsid w:val="00337BF1"/>
    <w:rsid w:val="00337C23"/>
    <w:rsid w:val="003460B9"/>
    <w:rsid w:val="00350B28"/>
    <w:rsid w:val="003519C2"/>
    <w:rsid w:val="00352478"/>
    <w:rsid w:val="0035346D"/>
    <w:rsid w:val="003637DC"/>
    <w:rsid w:val="003664B2"/>
    <w:rsid w:val="00372DE0"/>
    <w:rsid w:val="00374779"/>
    <w:rsid w:val="003805F0"/>
    <w:rsid w:val="00380F80"/>
    <w:rsid w:val="003811DC"/>
    <w:rsid w:val="0038128B"/>
    <w:rsid w:val="003865F7"/>
    <w:rsid w:val="00387918"/>
    <w:rsid w:val="003902F7"/>
    <w:rsid w:val="00390951"/>
    <w:rsid w:val="0039301C"/>
    <w:rsid w:val="003A2CFE"/>
    <w:rsid w:val="003A3064"/>
    <w:rsid w:val="003A441F"/>
    <w:rsid w:val="003A54AA"/>
    <w:rsid w:val="003A6FCC"/>
    <w:rsid w:val="003B1F35"/>
    <w:rsid w:val="003B4FAC"/>
    <w:rsid w:val="003B6720"/>
    <w:rsid w:val="003C7C69"/>
    <w:rsid w:val="003E00EB"/>
    <w:rsid w:val="003E5D24"/>
    <w:rsid w:val="003F3E38"/>
    <w:rsid w:val="003F4160"/>
    <w:rsid w:val="003F7103"/>
    <w:rsid w:val="004026AC"/>
    <w:rsid w:val="004057A6"/>
    <w:rsid w:val="00406F14"/>
    <w:rsid w:val="004070C3"/>
    <w:rsid w:val="004213E9"/>
    <w:rsid w:val="00422E99"/>
    <w:rsid w:val="004230B4"/>
    <w:rsid w:val="00423A35"/>
    <w:rsid w:val="00423D3F"/>
    <w:rsid w:val="004321C3"/>
    <w:rsid w:val="004378C4"/>
    <w:rsid w:val="00441396"/>
    <w:rsid w:val="00447CEB"/>
    <w:rsid w:val="0045587A"/>
    <w:rsid w:val="00455EE3"/>
    <w:rsid w:val="004563AD"/>
    <w:rsid w:val="00457716"/>
    <w:rsid w:val="00460A3F"/>
    <w:rsid w:val="004615C3"/>
    <w:rsid w:val="004620DE"/>
    <w:rsid w:val="00464158"/>
    <w:rsid w:val="004663A7"/>
    <w:rsid w:val="004714F0"/>
    <w:rsid w:val="004723B1"/>
    <w:rsid w:val="00472A11"/>
    <w:rsid w:val="00472E70"/>
    <w:rsid w:val="004769B9"/>
    <w:rsid w:val="00477FE0"/>
    <w:rsid w:val="0048068C"/>
    <w:rsid w:val="0048102D"/>
    <w:rsid w:val="00486D7E"/>
    <w:rsid w:val="00486F31"/>
    <w:rsid w:val="00491C82"/>
    <w:rsid w:val="00491D8D"/>
    <w:rsid w:val="00494DE7"/>
    <w:rsid w:val="004970CA"/>
    <w:rsid w:val="004976B3"/>
    <w:rsid w:val="004976FC"/>
    <w:rsid w:val="004A3E44"/>
    <w:rsid w:val="004A3F66"/>
    <w:rsid w:val="004A72CC"/>
    <w:rsid w:val="004B12D8"/>
    <w:rsid w:val="004B28C6"/>
    <w:rsid w:val="004B4FAF"/>
    <w:rsid w:val="004B7C24"/>
    <w:rsid w:val="004C0618"/>
    <w:rsid w:val="004C39EF"/>
    <w:rsid w:val="004C6856"/>
    <w:rsid w:val="004C68CA"/>
    <w:rsid w:val="004D2744"/>
    <w:rsid w:val="004D2A30"/>
    <w:rsid w:val="004D479F"/>
    <w:rsid w:val="004D4C3B"/>
    <w:rsid w:val="004D6319"/>
    <w:rsid w:val="004E1614"/>
    <w:rsid w:val="004E21C4"/>
    <w:rsid w:val="004E5B25"/>
    <w:rsid w:val="004E7C8A"/>
    <w:rsid w:val="004F1B3A"/>
    <w:rsid w:val="00500D01"/>
    <w:rsid w:val="00504538"/>
    <w:rsid w:val="00507164"/>
    <w:rsid w:val="005108BD"/>
    <w:rsid w:val="00513B52"/>
    <w:rsid w:val="00513EA7"/>
    <w:rsid w:val="00516047"/>
    <w:rsid w:val="005201E6"/>
    <w:rsid w:val="0052368E"/>
    <w:rsid w:val="00524CC1"/>
    <w:rsid w:val="00525769"/>
    <w:rsid w:val="00532406"/>
    <w:rsid w:val="00540ADA"/>
    <w:rsid w:val="00547B81"/>
    <w:rsid w:val="00552ACA"/>
    <w:rsid w:val="00552E0A"/>
    <w:rsid w:val="005542A0"/>
    <w:rsid w:val="005544BF"/>
    <w:rsid w:val="00557B3A"/>
    <w:rsid w:val="00561363"/>
    <w:rsid w:val="005614EF"/>
    <w:rsid w:val="00567BB8"/>
    <w:rsid w:val="00570F83"/>
    <w:rsid w:val="00572340"/>
    <w:rsid w:val="00572432"/>
    <w:rsid w:val="005728F6"/>
    <w:rsid w:val="00574199"/>
    <w:rsid w:val="00584965"/>
    <w:rsid w:val="005909B6"/>
    <w:rsid w:val="0059574F"/>
    <w:rsid w:val="005A2CC3"/>
    <w:rsid w:val="005A3CF8"/>
    <w:rsid w:val="005A6B87"/>
    <w:rsid w:val="005A6E48"/>
    <w:rsid w:val="005B55C7"/>
    <w:rsid w:val="005B7D6F"/>
    <w:rsid w:val="005C3B5B"/>
    <w:rsid w:val="005D3DBE"/>
    <w:rsid w:val="005E134F"/>
    <w:rsid w:val="005E44C9"/>
    <w:rsid w:val="005E5262"/>
    <w:rsid w:val="005E6C9F"/>
    <w:rsid w:val="005F0BF8"/>
    <w:rsid w:val="005F30E9"/>
    <w:rsid w:val="005F5484"/>
    <w:rsid w:val="005F58E1"/>
    <w:rsid w:val="005F5B72"/>
    <w:rsid w:val="0060126D"/>
    <w:rsid w:val="00603582"/>
    <w:rsid w:val="00603C4B"/>
    <w:rsid w:val="00606955"/>
    <w:rsid w:val="006108D1"/>
    <w:rsid w:val="00614D8A"/>
    <w:rsid w:val="00616AA1"/>
    <w:rsid w:val="00617720"/>
    <w:rsid w:val="00617D12"/>
    <w:rsid w:val="00620D12"/>
    <w:rsid w:val="00622816"/>
    <w:rsid w:val="0062282C"/>
    <w:rsid w:val="00623347"/>
    <w:rsid w:val="006243B1"/>
    <w:rsid w:val="006264CB"/>
    <w:rsid w:val="00630C64"/>
    <w:rsid w:val="00634D46"/>
    <w:rsid w:val="00642208"/>
    <w:rsid w:val="00644256"/>
    <w:rsid w:val="00644F4D"/>
    <w:rsid w:val="00662A5F"/>
    <w:rsid w:val="00663411"/>
    <w:rsid w:val="006635CD"/>
    <w:rsid w:val="00670A33"/>
    <w:rsid w:val="006801B0"/>
    <w:rsid w:val="006866B5"/>
    <w:rsid w:val="0068699E"/>
    <w:rsid w:val="00686F79"/>
    <w:rsid w:val="00687127"/>
    <w:rsid w:val="0069144C"/>
    <w:rsid w:val="0069244B"/>
    <w:rsid w:val="00694E93"/>
    <w:rsid w:val="006A1E25"/>
    <w:rsid w:val="006A31C3"/>
    <w:rsid w:val="006A7787"/>
    <w:rsid w:val="006B2197"/>
    <w:rsid w:val="006B4846"/>
    <w:rsid w:val="006D1520"/>
    <w:rsid w:val="006D1D44"/>
    <w:rsid w:val="006D3984"/>
    <w:rsid w:val="006D637D"/>
    <w:rsid w:val="006D6BA1"/>
    <w:rsid w:val="006E47FB"/>
    <w:rsid w:val="006F38AE"/>
    <w:rsid w:val="007022ED"/>
    <w:rsid w:val="0070364A"/>
    <w:rsid w:val="00707E7F"/>
    <w:rsid w:val="007221A4"/>
    <w:rsid w:val="0072255D"/>
    <w:rsid w:val="00722AB5"/>
    <w:rsid w:val="0073049F"/>
    <w:rsid w:val="00730F37"/>
    <w:rsid w:val="007321DE"/>
    <w:rsid w:val="007362CD"/>
    <w:rsid w:val="007401A5"/>
    <w:rsid w:val="00750659"/>
    <w:rsid w:val="00751275"/>
    <w:rsid w:val="0075242E"/>
    <w:rsid w:val="00752A6F"/>
    <w:rsid w:val="00753558"/>
    <w:rsid w:val="00753792"/>
    <w:rsid w:val="007577C2"/>
    <w:rsid w:val="007612AD"/>
    <w:rsid w:val="00762D18"/>
    <w:rsid w:val="00766C9A"/>
    <w:rsid w:val="00767A11"/>
    <w:rsid w:val="007722A8"/>
    <w:rsid w:val="0077718C"/>
    <w:rsid w:val="00780A49"/>
    <w:rsid w:val="00782D9B"/>
    <w:rsid w:val="00794FD7"/>
    <w:rsid w:val="007968B9"/>
    <w:rsid w:val="007A6696"/>
    <w:rsid w:val="007B4A92"/>
    <w:rsid w:val="007C0020"/>
    <w:rsid w:val="007C0F89"/>
    <w:rsid w:val="007C114D"/>
    <w:rsid w:val="007C2432"/>
    <w:rsid w:val="007C571F"/>
    <w:rsid w:val="007C60CA"/>
    <w:rsid w:val="007D6D84"/>
    <w:rsid w:val="007E52BF"/>
    <w:rsid w:val="007E56D1"/>
    <w:rsid w:val="007E5D45"/>
    <w:rsid w:val="007E7A2C"/>
    <w:rsid w:val="007F0BE1"/>
    <w:rsid w:val="007F466F"/>
    <w:rsid w:val="00801ADD"/>
    <w:rsid w:val="0080416A"/>
    <w:rsid w:val="0081040F"/>
    <w:rsid w:val="0081209D"/>
    <w:rsid w:val="00813758"/>
    <w:rsid w:val="00815D5F"/>
    <w:rsid w:val="00817306"/>
    <w:rsid w:val="008274F7"/>
    <w:rsid w:val="00837789"/>
    <w:rsid w:val="00845FAB"/>
    <w:rsid w:val="008539B3"/>
    <w:rsid w:val="0085577A"/>
    <w:rsid w:val="00865115"/>
    <w:rsid w:val="00867FE1"/>
    <w:rsid w:val="0087107C"/>
    <w:rsid w:val="0087384E"/>
    <w:rsid w:val="00873891"/>
    <w:rsid w:val="0087455C"/>
    <w:rsid w:val="008747AC"/>
    <w:rsid w:val="008800F8"/>
    <w:rsid w:val="00891F6F"/>
    <w:rsid w:val="00897B9A"/>
    <w:rsid w:val="008A0681"/>
    <w:rsid w:val="008B2B66"/>
    <w:rsid w:val="008B305A"/>
    <w:rsid w:val="008B3F5C"/>
    <w:rsid w:val="008C1D23"/>
    <w:rsid w:val="008C3AA3"/>
    <w:rsid w:val="008C786F"/>
    <w:rsid w:val="008D106E"/>
    <w:rsid w:val="008D19F7"/>
    <w:rsid w:val="008D6488"/>
    <w:rsid w:val="008E2816"/>
    <w:rsid w:val="008E309A"/>
    <w:rsid w:val="008F3E9E"/>
    <w:rsid w:val="008F7A96"/>
    <w:rsid w:val="00900A7D"/>
    <w:rsid w:val="00900E1C"/>
    <w:rsid w:val="00906A49"/>
    <w:rsid w:val="0090769F"/>
    <w:rsid w:val="0091248C"/>
    <w:rsid w:val="009138F3"/>
    <w:rsid w:val="00923FFA"/>
    <w:rsid w:val="00926FD1"/>
    <w:rsid w:val="00937190"/>
    <w:rsid w:val="00940458"/>
    <w:rsid w:val="00950533"/>
    <w:rsid w:val="009512F6"/>
    <w:rsid w:val="00960C5D"/>
    <w:rsid w:val="00963BA6"/>
    <w:rsid w:val="0096794F"/>
    <w:rsid w:val="00967CA2"/>
    <w:rsid w:val="00971EF0"/>
    <w:rsid w:val="00972DB7"/>
    <w:rsid w:val="00991D52"/>
    <w:rsid w:val="0099432E"/>
    <w:rsid w:val="009A7D9E"/>
    <w:rsid w:val="009B06D7"/>
    <w:rsid w:val="009B63D1"/>
    <w:rsid w:val="009B7E30"/>
    <w:rsid w:val="009C5A73"/>
    <w:rsid w:val="009D1217"/>
    <w:rsid w:val="009E14D2"/>
    <w:rsid w:val="009E3000"/>
    <w:rsid w:val="009E7268"/>
    <w:rsid w:val="009F4890"/>
    <w:rsid w:val="009F6411"/>
    <w:rsid w:val="00A03B37"/>
    <w:rsid w:val="00A0777D"/>
    <w:rsid w:val="00A129C7"/>
    <w:rsid w:val="00A208FC"/>
    <w:rsid w:val="00A20D0C"/>
    <w:rsid w:val="00A2291C"/>
    <w:rsid w:val="00A241EF"/>
    <w:rsid w:val="00A251C4"/>
    <w:rsid w:val="00A26A12"/>
    <w:rsid w:val="00A3505C"/>
    <w:rsid w:val="00A43757"/>
    <w:rsid w:val="00A4746C"/>
    <w:rsid w:val="00A52A22"/>
    <w:rsid w:val="00A61F34"/>
    <w:rsid w:val="00A62093"/>
    <w:rsid w:val="00A62DFA"/>
    <w:rsid w:val="00A63FA3"/>
    <w:rsid w:val="00A660E7"/>
    <w:rsid w:val="00A75BEF"/>
    <w:rsid w:val="00A77C32"/>
    <w:rsid w:val="00A77C81"/>
    <w:rsid w:val="00A80606"/>
    <w:rsid w:val="00A911EC"/>
    <w:rsid w:val="00A97084"/>
    <w:rsid w:val="00AA2686"/>
    <w:rsid w:val="00AA2B5D"/>
    <w:rsid w:val="00AA4A6E"/>
    <w:rsid w:val="00AB51C6"/>
    <w:rsid w:val="00AC508E"/>
    <w:rsid w:val="00AC6745"/>
    <w:rsid w:val="00AC7DE8"/>
    <w:rsid w:val="00AD4A76"/>
    <w:rsid w:val="00AD5520"/>
    <w:rsid w:val="00AF05B6"/>
    <w:rsid w:val="00AF4F6B"/>
    <w:rsid w:val="00B01C99"/>
    <w:rsid w:val="00B0761B"/>
    <w:rsid w:val="00B1246F"/>
    <w:rsid w:val="00B132D1"/>
    <w:rsid w:val="00B271AA"/>
    <w:rsid w:val="00B305F0"/>
    <w:rsid w:val="00B36BD1"/>
    <w:rsid w:val="00B43441"/>
    <w:rsid w:val="00B43D7B"/>
    <w:rsid w:val="00B4556F"/>
    <w:rsid w:val="00B50120"/>
    <w:rsid w:val="00B5370A"/>
    <w:rsid w:val="00B53F4E"/>
    <w:rsid w:val="00B55952"/>
    <w:rsid w:val="00B55CAA"/>
    <w:rsid w:val="00B55DEF"/>
    <w:rsid w:val="00B61CFF"/>
    <w:rsid w:val="00B61F15"/>
    <w:rsid w:val="00B70CCF"/>
    <w:rsid w:val="00B74220"/>
    <w:rsid w:val="00B84E38"/>
    <w:rsid w:val="00B85DD4"/>
    <w:rsid w:val="00B903C8"/>
    <w:rsid w:val="00B92AFA"/>
    <w:rsid w:val="00B94A65"/>
    <w:rsid w:val="00B96F01"/>
    <w:rsid w:val="00BA2726"/>
    <w:rsid w:val="00BA3BBE"/>
    <w:rsid w:val="00BB0624"/>
    <w:rsid w:val="00BC34B9"/>
    <w:rsid w:val="00BC384A"/>
    <w:rsid w:val="00BC3E01"/>
    <w:rsid w:val="00BD7AC8"/>
    <w:rsid w:val="00BE05FA"/>
    <w:rsid w:val="00BF4E05"/>
    <w:rsid w:val="00C01BC6"/>
    <w:rsid w:val="00C026CF"/>
    <w:rsid w:val="00C043B3"/>
    <w:rsid w:val="00C05916"/>
    <w:rsid w:val="00C05D7D"/>
    <w:rsid w:val="00C063EF"/>
    <w:rsid w:val="00C066CB"/>
    <w:rsid w:val="00C11AAB"/>
    <w:rsid w:val="00C1779A"/>
    <w:rsid w:val="00C23129"/>
    <w:rsid w:val="00C25674"/>
    <w:rsid w:val="00C259F2"/>
    <w:rsid w:val="00C25D34"/>
    <w:rsid w:val="00C27AD4"/>
    <w:rsid w:val="00C32509"/>
    <w:rsid w:val="00C336B7"/>
    <w:rsid w:val="00C3474A"/>
    <w:rsid w:val="00C36465"/>
    <w:rsid w:val="00C367A8"/>
    <w:rsid w:val="00C36F30"/>
    <w:rsid w:val="00C41B22"/>
    <w:rsid w:val="00C4402A"/>
    <w:rsid w:val="00C46EB8"/>
    <w:rsid w:val="00C50B4A"/>
    <w:rsid w:val="00C52361"/>
    <w:rsid w:val="00C542EE"/>
    <w:rsid w:val="00C5434C"/>
    <w:rsid w:val="00C560F7"/>
    <w:rsid w:val="00C61F1C"/>
    <w:rsid w:val="00C71E95"/>
    <w:rsid w:val="00C72F50"/>
    <w:rsid w:val="00C77363"/>
    <w:rsid w:val="00C82ABE"/>
    <w:rsid w:val="00C82F8A"/>
    <w:rsid w:val="00C84CA9"/>
    <w:rsid w:val="00C9760B"/>
    <w:rsid w:val="00CA3A1F"/>
    <w:rsid w:val="00CA416A"/>
    <w:rsid w:val="00CA594A"/>
    <w:rsid w:val="00CB29EB"/>
    <w:rsid w:val="00CB2BB6"/>
    <w:rsid w:val="00CB5FB7"/>
    <w:rsid w:val="00CC225D"/>
    <w:rsid w:val="00CC2383"/>
    <w:rsid w:val="00CE2B5F"/>
    <w:rsid w:val="00CE67B1"/>
    <w:rsid w:val="00CF03E9"/>
    <w:rsid w:val="00CF0F9C"/>
    <w:rsid w:val="00CF6F3B"/>
    <w:rsid w:val="00D03E36"/>
    <w:rsid w:val="00D0506E"/>
    <w:rsid w:val="00D11206"/>
    <w:rsid w:val="00D13E17"/>
    <w:rsid w:val="00D222BD"/>
    <w:rsid w:val="00D23213"/>
    <w:rsid w:val="00D36D16"/>
    <w:rsid w:val="00D36DD3"/>
    <w:rsid w:val="00D433A1"/>
    <w:rsid w:val="00D438B8"/>
    <w:rsid w:val="00D43E95"/>
    <w:rsid w:val="00D4455D"/>
    <w:rsid w:val="00D447BF"/>
    <w:rsid w:val="00D60259"/>
    <w:rsid w:val="00D666B9"/>
    <w:rsid w:val="00D72ED7"/>
    <w:rsid w:val="00D738B9"/>
    <w:rsid w:val="00D74EE3"/>
    <w:rsid w:val="00D76007"/>
    <w:rsid w:val="00D806E8"/>
    <w:rsid w:val="00D80E03"/>
    <w:rsid w:val="00D81262"/>
    <w:rsid w:val="00D86C2D"/>
    <w:rsid w:val="00D914DC"/>
    <w:rsid w:val="00D93935"/>
    <w:rsid w:val="00D96F8F"/>
    <w:rsid w:val="00D97832"/>
    <w:rsid w:val="00D978B3"/>
    <w:rsid w:val="00D97F9F"/>
    <w:rsid w:val="00DA1588"/>
    <w:rsid w:val="00DA4546"/>
    <w:rsid w:val="00DB115B"/>
    <w:rsid w:val="00DB33E0"/>
    <w:rsid w:val="00DB3809"/>
    <w:rsid w:val="00DB4318"/>
    <w:rsid w:val="00DC085B"/>
    <w:rsid w:val="00DC1118"/>
    <w:rsid w:val="00DD1936"/>
    <w:rsid w:val="00DD26B9"/>
    <w:rsid w:val="00DE23FA"/>
    <w:rsid w:val="00DE6789"/>
    <w:rsid w:val="00DE7219"/>
    <w:rsid w:val="00DF4D8F"/>
    <w:rsid w:val="00DF5B67"/>
    <w:rsid w:val="00E027EC"/>
    <w:rsid w:val="00E02CE2"/>
    <w:rsid w:val="00E067D7"/>
    <w:rsid w:val="00E20195"/>
    <w:rsid w:val="00E204BA"/>
    <w:rsid w:val="00E256D6"/>
    <w:rsid w:val="00E27807"/>
    <w:rsid w:val="00E30E38"/>
    <w:rsid w:val="00E405DC"/>
    <w:rsid w:val="00E40FDA"/>
    <w:rsid w:val="00E43F08"/>
    <w:rsid w:val="00E451DE"/>
    <w:rsid w:val="00E4553E"/>
    <w:rsid w:val="00E47F52"/>
    <w:rsid w:val="00E50BB3"/>
    <w:rsid w:val="00E51292"/>
    <w:rsid w:val="00E55187"/>
    <w:rsid w:val="00E566AA"/>
    <w:rsid w:val="00E6256E"/>
    <w:rsid w:val="00E64733"/>
    <w:rsid w:val="00E66A84"/>
    <w:rsid w:val="00E738B9"/>
    <w:rsid w:val="00E76145"/>
    <w:rsid w:val="00E8386A"/>
    <w:rsid w:val="00E843C9"/>
    <w:rsid w:val="00E9055B"/>
    <w:rsid w:val="00E93FF5"/>
    <w:rsid w:val="00E972F4"/>
    <w:rsid w:val="00EB1C3C"/>
    <w:rsid w:val="00EB2DC2"/>
    <w:rsid w:val="00EB3EEC"/>
    <w:rsid w:val="00EB5D8F"/>
    <w:rsid w:val="00EB7187"/>
    <w:rsid w:val="00EC1C44"/>
    <w:rsid w:val="00ED0656"/>
    <w:rsid w:val="00ED56E3"/>
    <w:rsid w:val="00EE5DFD"/>
    <w:rsid w:val="00EF3358"/>
    <w:rsid w:val="00EF4648"/>
    <w:rsid w:val="00EF5DE6"/>
    <w:rsid w:val="00F075AC"/>
    <w:rsid w:val="00F16125"/>
    <w:rsid w:val="00F2022F"/>
    <w:rsid w:val="00F20A61"/>
    <w:rsid w:val="00F20DEC"/>
    <w:rsid w:val="00F238F2"/>
    <w:rsid w:val="00F23FEF"/>
    <w:rsid w:val="00F30315"/>
    <w:rsid w:val="00F3305B"/>
    <w:rsid w:val="00F33FC9"/>
    <w:rsid w:val="00F34821"/>
    <w:rsid w:val="00F45999"/>
    <w:rsid w:val="00F612EA"/>
    <w:rsid w:val="00F628EF"/>
    <w:rsid w:val="00F62EB2"/>
    <w:rsid w:val="00F633B9"/>
    <w:rsid w:val="00F667F1"/>
    <w:rsid w:val="00F70178"/>
    <w:rsid w:val="00F77AE4"/>
    <w:rsid w:val="00F8060D"/>
    <w:rsid w:val="00F9264D"/>
    <w:rsid w:val="00F94902"/>
    <w:rsid w:val="00FA1AB4"/>
    <w:rsid w:val="00FA21E8"/>
    <w:rsid w:val="00FB179F"/>
    <w:rsid w:val="00FB4CFE"/>
    <w:rsid w:val="00FD093C"/>
    <w:rsid w:val="00FE32C1"/>
    <w:rsid w:val="00FE7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C7FB"/>
  <w15:docId w15:val="{B206F0DF-CFA8-4746-9F61-244292A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0F7"/>
  </w:style>
  <w:style w:type="paragraph" w:styleId="1">
    <w:name w:val="heading 1"/>
    <w:basedOn w:val="a"/>
    <w:next w:val="a"/>
    <w:link w:val="10"/>
    <w:uiPriority w:val="9"/>
    <w:qFormat/>
    <w:rsid w:val="00F30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303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1"/>
    <w:basedOn w:val="a"/>
    <w:next w:val="a"/>
    <w:link w:val="30"/>
    <w:uiPriority w:val="9"/>
    <w:qFormat/>
    <w:rsid w:val="00D81262"/>
    <w:pPr>
      <w:autoSpaceDE w:val="0"/>
      <w:autoSpaceDN w:val="0"/>
      <w:adjustRightInd w:val="0"/>
      <w:spacing w:after="0" w:line="240" w:lineRule="auto"/>
      <w:outlineLvl w:val="2"/>
    </w:pPr>
    <w:rPr>
      <w:rFonts w:ascii="Times New Roman CYR" w:eastAsia="Times New Roman" w:hAnsi="Times New Roman CYR"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C3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77C32"/>
    <w:rPr>
      <w:rFonts w:ascii="Segoe UI" w:hAnsi="Segoe UI" w:cs="Segoe UI"/>
      <w:sz w:val="18"/>
      <w:szCs w:val="18"/>
    </w:rPr>
  </w:style>
  <w:style w:type="character" w:customStyle="1" w:styleId="a5">
    <w:name w:val="Основной текст_"/>
    <w:basedOn w:val="a0"/>
    <w:link w:val="11"/>
    <w:rsid w:val="00423A35"/>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5"/>
    <w:rsid w:val="00423A35"/>
    <w:pPr>
      <w:widowControl w:val="0"/>
      <w:shd w:val="clear" w:color="auto" w:fill="FFFFFF"/>
      <w:spacing w:before="360" w:after="600" w:line="0" w:lineRule="atLeast"/>
      <w:jc w:val="both"/>
    </w:pPr>
    <w:rPr>
      <w:rFonts w:ascii="Times New Roman" w:eastAsia="Times New Roman" w:hAnsi="Times New Roman" w:cs="Times New Roman"/>
      <w:sz w:val="21"/>
      <w:szCs w:val="21"/>
    </w:rPr>
  </w:style>
  <w:style w:type="paragraph" w:styleId="a6">
    <w:name w:val="List Paragraph"/>
    <w:basedOn w:val="a"/>
    <w:uiPriority w:val="34"/>
    <w:qFormat/>
    <w:rsid w:val="003805F0"/>
    <w:pPr>
      <w:ind w:left="720"/>
      <w:contextualSpacing/>
    </w:pPr>
  </w:style>
  <w:style w:type="paragraph" w:styleId="a7">
    <w:name w:val="Normal (Web)"/>
    <w:basedOn w:val="a"/>
    <w:uiPriority w:val="99"/>
    <w:semiHidden/>
    <w:unhideWhenUsed/>
    <w:rsid w:val="000524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0524D1"/>
    <w:rPr>
      <w:color w:val="0563C1" w:themeColor="hyperlink"/>
      <w:u w:val="single"/>
    </w:rPr>
  </w:style>
  <w:style w:type="table" w:styleId="a9">
    <w:name w:val="Table Grid"/>
    <w:basedOn w:val="a1"/>
    <w:uiPriority w:val="39"/>
    <w:rsid w:val="005A6E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0F80"/>
    <w:pPr>
      <w:autoSpaceDE w:val="0"/>
      <w:autoSpaceDN w:val="0"/>
      <w:adjustRightInd w:val="0"/>
      <w:spacing w:after="0" w:line="240" w:lineRule="auto"/>
    </w:pPr>
    <w:rPr>
      <w:rFonts w:ascii="Calibri" w:hAnsi="Calibri" w:cs="Calibri"/>
      <w:color w:val="000000"/>
      <w:sz w:val="24"/>
      <w:szCs w:val="24"/>
      <w:lang w:val="ru-RU"/>
    </w:rPr>
  </w:style>
  <w:style w:type="character" w:customStyle="1" w:styleId="12">
    <w:name w:val="Незакрита згадка1"/>
    <w:basedOn w:val="a0"/>
    <w:uiPriority w:val="99"/>
    <w:semiHidden/>
    <w:unhideWhenUsed/>
    <w:rsid w:val="007C571F"/>
    <w:rPr>
      <w:color w:val="605E5C"/>
      <w:shd w:val="clear" w:color="auto" w:fill="E1DFDD"/>
    </w:rPr>
  </w:style>
  <w:style w:type="character" w:customStyle="1" w:styleId="30">
    <w:name w:val="Заголовок 3 Знак"/>
    <w:aliases w:val=" Знак1 Знак"/>
    <w:basedOn w:val="a0"/>
    <w:link w:val="3"/>
    <w:uiPriority w:val="9"/>
    <w:rsid w:val="00D81262"/>
    <w:rPr>
      <w:rFonts w:ascii="Times New Roman CYR" w:eastAsia="Times New Roman" w:hAnsi="Times New Roman CYR" w:cs="Times New Roman"/>
      <w:sz w:val="24"/>
      <w:szCs w:val="24"/>
      <w:lang w:val="ru-RU" w:eastAsia="ru-RU"/>
    </w:rPr>
  </w:style>
  <w:style w:type="paragraph" w:customStyle="1" w:styleId="rvps2">
    <w:name w:val="rvps2"/>
    <w:basedOn w:val="a"/>
    <w:rsid w:val="00283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4C0618"/>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10">
    <w:name w:val="Заголовок 1 Знак"/>
    <w:basedOn w:val="a0"/>
    <w:link w:val="1"/>
    <w:uiPriority w:val="9"/>
    <w:rsid w:val="00F3031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30315"/>
    <w:rPr>
      <w:rFonts w:asciiTheme="majorHAnsi" w:eastAsiaTheme="majorEastAsia" w:hAnsiTheme="majorHAnsi" w:cstheme="majorBidi"/>
      <w:color w:val="2E74B5" w:themeColor="accent1" w:themeShade="BF"/>
      <w:sz w:val="26"/>
      <w:szCs w:val="26"/>
    </w:rPr>
  </w:style>
  <w:style w:type="character" w:styleId="aa">
    <w:name w:val="Unresolved Mention"/>
    <w:basedOn w:val="a0"/>
    <w:uiPriority w:val="99"/>
    <w:semiHidden/>
    <w:unhideWhenUsed/>
    <w:rsid w:val="008C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78369">
      <w:bodyDiv w:val="1"/>
      <w:marLeft w:val="0"/>
      <w:marRight w:val="0"/>
      <w:marTop w:val="0"/>
      <w:marBottom w:val="0"/>
      <w:divBdr>
        <w:top w:val="none" w:sz="0" w:space="0" w:color="auto"/>
        <w:left w:val="none" w:sz="0" w:space="0" w:color="auto"/>
        <w:bottom w:val="none" w:sz="0" w:space="0" w:color="auto"/>
        <w:right w:val="none" w:sz="0" w:space="0" w:color="auto"/>
      </w:divBdr>
    </w:div>
    <w:div w:id="497187579">
      <w:bodyDiv w:val="1"/>
      <w:marLeft w:val="0"/>
      <w:marRight w:val="0"/>
      <w:marTop w:val="0"/>
      <w:marBottom w:val="0"/>
      <w:divBdr>
        <w:top w:val="none" w:sz="0" w:space="0" w:color="auto"/>
        <w:left w:val="none" w:sz="0" w:space="0" w:color="auto"/>
        <w:bottom w:val="none" w:sz="0" w:space="0" w:color="auto"/>
        <w:right w:val="none" w:sz="0" w:space="0" w:color="auto"/>
      </w:divBdr>
    </w:div>
    <w:div w:id="607738118">
      <w:bodyDiv w:val="1"/>
      <w:marLeft w:val="0"/>
      <w:marRight w:val="0"/>
      <w:marTop w:val="0"/>
      <w:marBottom w:val="0"/>
      <w:divBdr>
        <w:top w:val="none" w:sz="0" w:space="0" w:color="auto"/>
        <w:left w:val="none" w:sz="0" w:space="0" w:color="auto"/>
        <w:bottom w:val="none" w:sz="0" w:space="0" w:color="auto"/>
        <w:right w:val="none" w:sz="0" w:space="0" w:color="auto"/>
      </w:divBdr>
    </w:div>
    <w:div w:id="817695501">
      <w:bodyDiv w:val="1"/>
      <w:marLeft w:val="0"/>
      <w:marRight w:val="0"/>
      <w:marTop w:val="0"/>
      <w:marBottom w:val="0"/>
      <w:divBdr>
        <w:top w:val="none" w:sz="0" w:space="0" w:color="auto"/>
        <w:left w:val="none" w:sz="0" w:space="0" w:color="auto"/>
        <w:bottom w:val="none" w:sz="0" w:space="0" w:color="auto"/>
        <w:right w:val="none" w:sz="0" w:space="0" w:color="auto"/>
      </w:divBdr>
    </w:div>
    <w:div w:id="910893560">
      <w:bodyDiv w:val="1"/>
      <w:marLeft w:val="0"/>
      <w:marRight w:val="0"/>
      <w:marTop w:val="0"/>
      <w:marBottom w:val="0"/>
      <w:divBdr>
        <w:top w:val="none" w:sz="0" w:space="0" w:color="auto"/>
        <w:left w:val="none" w:sz="0" w:space="0" w:color="auto"/>
        <w:bottom w:val="none" w:sz="0" w:space="0" w:color="auto"/>
        <w:right w:val="none" w:sz="0" w:space="0" w:color="auto"/>
      </w:divBdr>
    </w:div>
    <w:div w:id="1841698472">
      <w:bodyDiv w:val="1"/>
      <w:marLeft w:val="0"/>
      <w:marRight w:val="0"/>
      <w:marTop w:val="0"/>
      <w:marBottom w:val="0"/>
      <w:divBdr>
        <w:top w:val="none" w:sz="0" w:space="0" w:color="auto"/>
        <w:left w:val="none" w:sz="0" w:space="0" w:color="auto"/>
        <w:bottom w:val="none" w:sz="0" w:space="0" w:color="auto"/>
        <w:right w:val="none" w:sz="0" w:space="0" w:color="auto"/>
      </w:divBdr>
      <w:divsChild>
        <w:div w:id="530917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_desnrda@kyivcity.go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5E6B-4C7E-43D3-A417-0D882A90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Pages>
  <Words>3092</Words>
  <Characters>17630</Characters>
  <Application>Microsoft Office Word</Application>
  <DocSecurity>0</DocSecurity>
  <Lines>146</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4</cp:revision>
  <cp:lastPrinted>2025-11-04T14:39:00Z</cp:lastPrinted>
  <dcterms:created xsi:type="dcterms:W3CDTF">2025-10-07T13:06:00Z</dcterms:created>
  <dcterms:modified xsi:type="dcterms:W3CDTF">2025-11-04T14:43:00Z</dcterms:modified>
</cp:coreProperties>
</file>